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empora LGC Uni" w:hAnsi="Tempora LGC Uni" w:cs="Tempora LGC Uni" w:eastAsia="Tempora LGC Uni"/>
          <w:b/>
          <w:sz w:val="24"/>
          <w:highlight w:val="none"/>
        </w:rPr>
      </w:pPr>
      <w:r>
        <w:rPr>
          <w:rFonts w:ascii="Tempora LGC Uni" w:hAnsi="Tempora LGC Uni" w:cs="Tempora LGC Uni" w:eastAsia="Tempora LGC Uni"/>
          <w:b/>
          <w:sz w:val="24"/>
        </w:rPr>
      </w:r>
      <w:r>
        <w:rPr>
          <w:rFonts w:ascii="Tempora LGC Uni" w:hAnsi="Tempora LGC Uni" w:cs="Tempora LGC Uni" w:eastAsia="Tempora LGC Uni"/>
          <w:b/>
          <w:sz w:val="24"/>
        </w:rPr>
        <w:t xml:space="preserve">Перечень нормативных правовых актов, содержащих обязательные требования, оценка которых является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</w:t>
      </w:r>
      <w:r>
        <w:rPr>
          <w:rFonts w:ascii="Tempora LGC Uni" w:hAnsi="Tempora LGC Uni" w:cs="Tempora LGC Uni" w:eastAsia="Tempora LGC Uni"/>
          <w:b/>
          <w:sz w:val="24"/>
        </w:rPr>
        <w:t xml:space="preserve">ритории Воронежской области </w:t>
      </w:r>
      <w:r>
        <w:rPr>
          <w:rFonts w:ascii="Tempora LGC Uni" w:hAnsi="Tempora LGC Uni" w:cs="Tempora LGC Uni" w:eastAsia="Tempora LGC Uni"/>
          <w:b/>
          <w:sz w:val="24"/>
        </w:rPr>
      </w:r>
      <w:r/>
    </w:p>
    <w:tbl>
      <w:tblPr>
        <w:tblStyle w:val="479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819"/>
        <w:gridCol w:w="4649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№ п/п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Н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аименование нормативного правового акта с указанием даты и номера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Категории лиц, обязанных соблюдать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установленные нормативным правовым актом обязательные требования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Реквизиты структурных единиц нормативного правового акта, содержащие обязательные требования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Жилищный кодекс Российской Федерации, утвержден Федеральным законом от 29.12.2004 № 188-ФЗ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Юридические лица и индивидуальные предприниматели, осуществляющие предпринимательскую деятельность по управлению многоквартирными домами (далее - лицензиаты)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Статьи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17, 22-29 раздела I, статьи 30-39, 42-48 раздела II, главы 7-8.2, разделы IV-X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2.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Федеральный закон от 23.11.2009          № 261-ФЗ «Об энергосбережении и о повышении энергетической эффективности»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Статьи 11-13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3.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оложение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ми, утв. постановлением Правительства Российской Федерации от 28.10.2014    № 1110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Пункты 3, 4, 4(1)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4.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содержания общего имущества в многоквартирном доме, утв. постановлением Правительства Российской Федерации от 13.08.2006        № 491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5.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одолжительность, утв. постановлением Правительства Российской Федерации от 13.08.2006       № 491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6.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предоставления коммунальных услуг собственникам и пользователям помещений в многоквартирных домах и жилых домах, утв. постановлением Правительства Российской Федерации 06.05.2011 № 354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7.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осуществления деятельности по управлению многоквартирными домами, утв. постановлением Правительства Российской Лицензиаты Все структурные единицы 2 Федерации от 15.05.2013 № 416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8.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/>
          </w:p>
        </w:tc>
        <w:tc>
          <w:tcPr>
            <w:tcW w:w="439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Минимальный перечень услуг и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 № 290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9.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оказания услуг и выполнения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№ 290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10.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утв. постановлением Правительства Российской Федерации от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14.05.2013 № 410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11.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 нормы технической эксплуатации жилищного фонда, утв. постановлением Госстроя Российской Федерации от 23.09.2003 № 170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12.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  <w:t xml:space="preserve"> 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приказ Министерства связи и массовых коммуникаций Российской Федерации и Министерства строительства и жили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щно-коммунального хозяйства Российской Федерации от 29.02.2016    № 74/114/пр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b w:val="false"/>
                <w:sz w:val="24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Раздел 10 Состава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</w:tbl>
    <w:p>
      <w:r/>
    </w:p>
    <w:sectPr>
      <w:footnotePr/>
      <w:endnotePr/>
      <w:type w:val="nextPage"/>
      <w:pgSz w:w="16838" w:h="11906" w:orient="landscape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2"/>
    <w:next w:val="622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2"/>
    <w:next w:val="62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2"/>
    <w:next w:val="622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2"/>
    <w:next w:val="622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2"/>
    <w:next w:val="622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2"/>
    <w:next w:val="622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2"/>
    <w:next w:val="622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2"/>
    <w:next w:val="622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2"/>
    <w:next w:val="622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Title"/>
    <w:basedOn w:val="622"/>
    <w:next w:val="622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link w:val="465"/>
    <w:uiPriority w:val="10"/>
    <w:rPr>
      <w:sz w:val="48"/>
      <w:szCs w:val="48"/>
    </w:rPr>
  </w:style>
  <w:style w:type="paragraph" w:styleId="467">
    <w:name w:val="Subtitle"/>
    <w:basedOn w:val="622"/>
    <w:next w:val="622"/>
    <w:link w:val="468"/>
    <w:qFormat/>
    <w:uiPriority w:val="11"/>
    <w:rPr>
      <w:sz w:val="24"/>
      <w:szCs w:val="24"/>
    </w:rPr>
    <w:pPr>
      <w:spacing w:after="200" w:before="200"/>
    </w:pPr>
  </w:style>
  <w:style w:type="character" w:styleId="468">
    <w:name w:val="Subtitle Char"/>
    <w:link w:val="467"/>
    <w:uiPriority w:val="11"/>
    <w:rPr>
      <w:sz w:val="24"/>
      <w:szCs w:val="24"/>
    </w:rPr>
  </w:style>
  <w:style w:type="paragraph" w:styleId="469">
    <w:name w:val="Quote"/>
    <w:basedOn w:val="622"/>
    <w:next w:val="622"/>
    <w:link w:val="470"/>
    <w:qFormat/>
    <w:uiPriority w:val="29"/>
    <w:rPr>
      <w:i/>
    </w:rPr>
    <w:pPr>
      <w:ind w:left="720" w:right="720"/>
    </w:pPr>
  </w:style>
  <w:style w:type="character" w:styleId="470">
    <w:name w:val="Quote Char"/>
    <w:link w:val="469"/>
    <w:uiPriority w:val="29"/>
    <w:rPr>
      <w:i/>
    </w:rPr>
  </w:style>
  <w:style w:type="paragraph" w:styleId="471">
    <w:name w:val="Intense Quote"/>
    <w:basedOn w:val="622"/>
    <w:next w:val="622"/>
    <w:link w:val="47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2">
    <w:name w:val="Intense Quote Char"/>
    <w:link w:val="471"/>
    <w:uiPriority w:val="30"/>
    <w:rPr>
      <w:i/>
    </w:rPr>
  </w:style>
  <w:style w:type="paragraph" w:styleId="473">
    <w:name w:val="Header"/>
    <w:basedOn w:val="622"/>
    <w:link w:val="47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4">
    <w:name w:val="Header Char"/>
    <w:link w:val="473"/>
    <w:uiPriority w:val="99"/>
  </w:style>
  <w:style w:type="paragraph" w:styleId="475">
    <w:name w:val="Footer"/>
    <w:basedOn w:val="622"/>
    <w:link w:val="4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Footer Char"/>
    <w:link w:val="475"/>
    <w:uiPriority w:val="99"/>
  </w:style>
  <w:style w:type="paragraph" w:styleId="477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8">
    <w:name w:val="Caption Char"/>
    <w:basedOn w:val="477"/>
    <w:link w:val="475"/>
    <w:uiPriority w:val="99"/>
  </w:style>
  <w:style w:type="table" w:styleId="479">
    <w:name w:val="Table Grid"/>
    <w:basedOn w:val="62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Table Grid Light"/>
    <w:basedOn w:val="6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1">
    <w:name w:val="Plain Table 1"/>
    <w:basedOn w:val="6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2"/>
    <w:basedOn w:val="62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4">
    <w:name w:val="Plain Table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Plain Table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6">
    <w:name w:val="Grid Table 1 Light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4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8">
    <w:name w:val="Grid Table 4 - Accent 1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9">
    <w:name w:val="Grid Table 4 - Accent 2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Grid Table 4 - Accent 3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1">
    <w:name w:val="Grid Table 4 - Accent 4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Grid Table 4 - Accent 5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3">
    <w:name w:val="Grid Table 4 - Accent 6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4">
    <w:name w:val="Grid Table 5 Dark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5">
    <w:name w:val="Grid Table 5 Dark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1">
    <w:name w:val="Grid Table 6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2">
    <w:name w:val="Grid Table 6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3">
    <w:name w:val="Grid Table 6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4">
    <w:name w:val="Grid Table 6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5">
    <w:name w:val="Grid Table 6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6">
    <w:name w:val="Grid Table 6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6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7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3">
    <w:name w:val="List Table 2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4">
    <w:name w:val="List Table 2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5">
    <w:name w:val="List Table 2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6">
    <w:name w:val="List Table 2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7">
    <w:name w:val="List Table 2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8">
    <w:name w:val="List Table 2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9">
    <w:name w:val="List Table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5 Dark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6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1">
    <w:name w:val="List Table 6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2">
    <w:name w:val="List Table 6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3">
    <w:name w:val="List Table 6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4">
    <w:name w:val="List Table 6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5">
    <w:name w:val="List Table 6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6">
    <w:name w:val="List Table 6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7">
    <w:name w:val="List Table 7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8">
    <w:name w:val="List Table 7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79">
    <w:name w:val="List Table 7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0">
    <w:name w:val="List Table 7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1">
    <w:name w:val="List Table 7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2">
    <w:name w:val="List Table 7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3">
    <w:name w:val="List Table 7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4">
    <w:name w:val="Lined - Accent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Lined - Accent 1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Lined - Accent 2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Lined - Accent 3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Lined - Accent 4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Lined - Accent 5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Lined - Accent 6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 &amp; Lined - Accent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2">
    <w:name w:val="Bordered &amp; Lined - Accent 1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3">
    <w:name w:val="Bordered &amp; Lined - Accent 2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4">
    <w:name w:val="Bordered &amp; Lined - Accent 3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5">
    <w:name w:val="Bordered &amp; Lined - Accent 4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6">
    <w:name w:val="Bordered &amp; Lined - Accent 5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7">
    <w:name w:val="Bordered &amp; Lined - Accent 6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8">
    <w:name w:val="Bordered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9">
    <w:name w:val="Bordered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0">
    <w:name w:val="Bordered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1">
    <w:name w:val="Bordered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2">
    <w:name w:val="Bordered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3">
    <w:name w:val="Bordered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4">
    <w:name w:val="Bordered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5">
    <w:name w:val="Hyperlink"/>
    <w:uiPriority w:val="99"/>
    <w:unhideWhenUsed/>
    <w:rPr>
      <w:color w:val="0000FF" w:themeColor="hyperlink"/>
      <w:u w:val="single"/>
    </w:rPr>
  </w:style>
  <w:style w:type="paragraph" w:styleId="606">
    <w:name w:val="footnote text"/>
    <w:basedOn w:val="622"/>
    <w:link w:val="607"/>
    <w:uiPriority w:val="99"/>
    <w:semiHidden/>
    <w:unhideWhenUsed/>
    <w:rPr>
      <w:sz w:val="18"/>
    </w:rPr>
    <w:pPr>
      <w:spacing w:lineRule="auto" w:line="240" w:after="40"/>
    </w:pPr>
  </w:style>
  <w:style w:type="character" w:styleId="607">
    <w:name w:val="Footnote Text Char"/>
    <w:link w:val="606"/>
    <w:uiPriority w:val="99"/>
    <w:rPr>
      <w:sz w:val="18"/>
    </w:rPr>
  </w:style>
  <w:style w:type="character" w:styleId="608">
    <w:name w:val="footnote reference"/>
    <w:uiPriority w:val="99"/>
    <w:unhideWhenUsed/>
    <w:rPr>
      <w:vertAlign w:val="superscript"/>
    </w:rPr>
  </w:style>
  <w:style w:type="paragraph" w:styleId="609">
    <w:name w:val="endnote text"/>
    <w:basedOn w:val="622"/>
    <w:link w:val="610"/>
    <w:uiPriority w:val="99"/>
    <w:semiHidden/>
    <w:unhideWhenUsed/>
    <w:rPr>
      <w:sz w:val="20"/>
    </w:rPr>
    <w:pPr>
      <w:spacing w:lineRule="auto" w:line="240" w:after="0"/>
    </w:pPr>
  </w:style>
  <w:style w:type="character" w:styleId="610">
    <w:name w:val="Endnote Text Char"/>
    <w:link w:val="609"/>
    <w:uiPriority w:val="99"/>
    <w:rPr>
      <w:sz w:val="20"/>
    </w:rPr>
  </w:style>
  <w:style w:type="character" w:styleId="611">
    <w:name w:val="endnote reference"/>
    <w:uiPriority w:val="99"/>
    <w:semiHidden/>
    <w:unhideWhenUsed/>
    <w:rPr>
      <w:vertAlign w:val="superscript"/>
    </w:rPr>
  </w:style>
  <w:style w:type="paragraph" w:styleId="61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61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61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61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61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61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61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61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62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621">
    <w:name w:val="TOC Heading"/>
    <w:uiPriority w:val="39"/>
    <w:unhideWhenUsed/>
  </w:style>
  <w:style w:type="paragraph" w:styleId="622" w:default="1">
    <w:name w:val="Normal"/>
    <w:qFormat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 Spacing"/>
    <w:basedOn w:val="622"/>
    <w:qFormat/>
    <w:uiPriority w:val="1"/>
    <w:pPr>
      <w:spacing w:lineRule="auto" w:line="240" w:after="0"/>
    </w:pPr>
  </w:style>
  <w:style w:type="paragraph" w:styleId="626">
    <w:name w:val="List Paragraph"/>
    <w:basedOn w:val="622"/>
    <w:qFormat/>
    <w:uiPriority w:val="34"/>
    <w:pPr>
      <w:contextualSpacing w:val="true"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2024-06-05T12:52:00Z</dcterms:modified>
</cp:coreProperties>
</file>