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55" w:rsidRDefault="008C0455">
      <w:pPr>
        <w:pStyle w:val="ConsPlusTitlePage"/>
      </w:pPr>
      <w:r>
        <w:t xml:space="preserve">Документ предоставлен </w:t>
      </w:r>
      <w:hyperlink r:id="rId4">
        <w:r>
          <w:rPr>
            <w:color w:val="0000FF"/>
          </w:rPr>
          <w:t>КонсультантПлюс</w:t>
        </w:r>
      </w:hyperlink>
      <w:r>
        <w:br/>
      </w:r>
    </w:p>
    <w:p w:rsidR="008C0455" w:rsidRDefault="008C0455">
      <w:pPr>
        <w:pStyle w:val="ConsPlusNormal"/>
        <w:jc w:val="both"/>
        <w:outlineLvl w:val="0"/>
      </w:pPr>
    </w:p>
    <w:p w:rsidR="008C0455" w:rsidRDefault="008C0455">
      <w:pPr>
        <w:pStyle w:val="ConsPlusTitle"/>
        <w:jc w:val="center"/>
      </w:pPr>
      <w:r>
        <w:t>МИНИСТЕРСТВО СТРОИТЕЛЬСТВА И ЖИЛИЩНО-КОММУНАЛЬНОГО</w:t>
      </w:r>
    </w:p>
    <w:p w:rsidR="008C0455" w:rsidRDefault="008C0455">
      <w:pPr>
        <w:pStyle w:val="ConsPlusTitle"/>
        <w:jc w:val="center"/>
      </w:pPr>
      <w:r>
        <w:t>ХОЗЯЙСТВА РОССИЙСКОЙ ФЕДЕРАЦИИ</w:t>
      </w:r>
    </w:p>
    <w:p w:rsidR="008C0455" w:rsidRDefault="008C0455">
      <w:pPr>
        <w:pStyle w:val="ConsPlusTitle"/>
        <w:jc w:val="both"/>
      </w:pPr>
    </w:p>
    <w:p w:rsidR="008C0455" w:rsidRDefault="008C0455">
      <w:pPr>
        <w:pStyle w:val="ConsPlusTitle"/>
        <w:jc w:val="center"/>
      </w:pPr>
      <w:r>
        <w:t>ПИСЬМО</w:t>
      </w:r>
    </w:p>
    <w:p w:rsidR="008C0455" w:rsidRDefault="008C0455">
      <w:pPr>
        <w:pStyle w:val="ConsPlusTitle"/>
        <w:jc w:val="center"/>
      </w:pPr>
      <w:r>
        <w:t>от 21 июня 2018 г. N 26618-АЧ/04</w:t>
      </w:r>
    </w:p>
    <w:p w:rsidR="008C0455" w:rsidRDefault="008C0455">
      <w:pPr>
        <w:pStyle w:val="ConsPlusNormal"/>
        <w:jc w:val="both"/>
      </w:pPr>
    </w:p>
    <w:p w:rsidR="008C0455" w:rsidRDefault="008C0455">
      <w:pPr>
        <w:pStyle w:val="ConsPlusNormal"/>
        <w:ind w:firstLine="540"/>
        <w:jc w:val="both"/>
      </w:pPr>
      <w:r>
        <w:t>Министерство строительства и жилищно-коммунального хозяйства Российской Федерации рассмотрело обращение и в пределах своей компетенции сообщает следующее.</w:t>
      </w:r>
    </w:p>
    <w:p w:rsidR="008C0455" w:rsidRDefault="008C0455">
      <w:pPr>
        <w:pStyle w:val="ConsPlusNormal"/>
        <w:spacing w:before="220"/>
        <w:ind w:firstLine="540"/>
        <w:jc w:val="both"/>
      </w:pPr>
      <w:r>
        <w:t xml:space="preserve">В соответствии со </w:t>
      </w:r>
      <w:hyperlink r:id="rId5">
        <w:r>
          <w:rPr>
            <w:color w:val="0000FF"/>
          </w:rPr>
          <w:t>статьей 1473</w:t>
        </w:r>
      </w:hyperlink>
      <w:r>
        <w:t xml:space="preserve"> Гражданского кодекса Российской Федерации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 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w:t>
      </w:r>
    </w:p>
    <w:p w:rsidR="008C0455" w:rsidRDefault="008C0455">
      <w:pPr>
        <w:pStyle w:val="ConsPlusNormal"/>
        <w:spacing w:before="220"/>
        <w:ind w:firstLine="540"/>
        <w:jc w:val="both"/>
      </w:pPr>
      <w:r>
        <w:t xml:space="preserve">В этой связи при </w:t>
      </w:r>
      <w:hyperlink r:id="rId6">
        <w:r>
          <w:rPr>
            <w:color w:val="0000FF"/>
          </w:rPr>
          <w:t>оценке</w:t>
        </w:r>
      </w:hyperlink>
      <w:r>
        <w:t xml:space="preserve"> тождественности или схожести до степени смешения фирменных наименований лицензиатов, по мнению Минстроя России, рекомендуется сопоставлять как полное, так и сокращенное фирменное наименование юридического лица, которые указываются в учредительных документах юридического лица и в Едином государственном реестре юридических лиц в разделе "Наименование". При этом наименование следует считать тождественным с другим наименованием, если оно совпадает с ним во всех элементах, а сходным до степени смешения с другим наименованием - если оно ассоциируется с ним в целом, несмотря на их отдельные отличия. Сходство словесных обозначений оценивается по графическим, смысловым (семантическим) и звуковым (фонетическим) признакам.</w:t>
      </w:r>
    </w:p>
    <w:p w:rsidR="008C0455" w:rsidRDefault="008C0455">
      <w:pPr>
        <w:pStyle w:val="ConsPlusNormal"/>
        <w:spacing w:before="220"/>
        <w:ind w:firstLine="540"/>
        <w:jc w:val="both"/>
      </w:pPr>
      <w:r>
        <w:t>Так, графическое сходство наименований рекомендуется определять на основании следующих признаков:</w:t>
      </w:r>
    </w:p>
    <w:p w:rsidR="008C0455" w:rsidRDefault="008C0455">
      <w:pPr>
        <w:pStyle w:val="ConsPlusNormal"/>
        <w:spacing w:before="220"/>
        <w:ind w:firstLine="540"/>
        <w:jc w:val="both"/>
      </w:pPr>
      <w:r>
        <w:t>- использование знаков различных алфавитов для обозначения одинаковой или созвучной фонемы (например, ООО "ДОМ" и ООО "DOM");</w:t>
      </w:r>
    </w:p>
    <w:p w:rsidR="008C0455" w:rsidRDefault="008C0455">
      <w:pPr>
        <w:pStyle w:val="ConsPlusNormal"/>
        <w:spacing w:before="220"/>
        <w:ind w:firstLine="540"/>
        <w:jc w:val="both"/>
      </w:pPr>
      <w:r>
        <w:t>- использование одинаковых букв с разным регистром (например, использование заглавных или строчных букв: ООО УК "УРАЛ" и ООО УК "Урал");</w:t>
      </w:r>
    </w:p>
    <w:p w:rsidR="008C0455" w:rsidRDefault="008C0455">
      <w:pPr>
        <w:pStyle w:val="ConsPlusNormal"/>
        <w:spacing w:before="220"/>
        <w:ind w:firstLine="540"/>
        <w:jc w:val="both"/>
      </w:pPr>
      <w:r>
        <w:t>- использование различных символов, знаков препинания, орфографических знаков применительно к одинаковым словосочетаниям, словам (например, ООО "Комфорт - Сервис" и ООО "Комфорт Сервис", ООО УК "Эталон" и ООО УК "Эталон+", ООО УК "Развитие" и ООО "УК Развитие");</w:t>
      </w:r>
    </w:p>
    <w:p w:rsidR="008C0455" w:rsidRDefault="008C0455">
      <w:pPr>
        <w:pStyle w:val="ConsPlusNormal"/>
        <w:spacing w:before="220"/>
        <w:ind w:firstLine="540"/>
        <w:jc w:val="both"/>
      </w:pPr>
      <w:r>
        <w:t>- использование дополнительных единичных букв или слогов в одинаковых словосочетаниях, словах (например, ООО "Алекс" и ООО "Алекс и К", ООО "Коммунальщик" и ООО ДО "Коммунальщик").</w:t>
      </w:r>
    </w:p>
    <w:p w:rsidR="008C0455" w:rsidRDefault="008C0455">
      <w:pPr>
        <w:pStyle w:val="ConsPlusNormal"/>
        <w:spacing w:before="220"/>
        <w:ind w:firstLine="540"/>
        <w:jc w:val="both"/>
      </w:pPr>
      <w:r>
        <w:t>При этом под графическим сходством наименований не рекомендуется понимать использование одинаковых частей слова, однокоренных слов (например, ООО УК "Мегаполис" и ООО УК "Иннополис").</w:t>
      </w:r>
    </w:p>
    <w:p w:rsidR="008C0455" w:rsidRDefault="008C0455">
      <w:pPr>
        <w:pStyle w:val="ConsPlusNormal"/>
        <w:spacing w:before="220"/>
        <w:ind w:firstLine="540"/>
        <w:jc w:val="both"/>
      </w:pPr>
      <w:r>
        <w:lastRenderedPageBreak/>
        <w:t>Смысловое сходство наименований рекомендуется определять на основании следующих признаков:</w:t>
      </w:r>
    </w:p>
    <w:p w:rsidR="008C0455" w:rsidRDefault="008C0455">
      <w:pPr>
        <w:pStyle w:val="ConsPlusNormal"/>
        <w:spacing w:before="220"/>
        <w:ind w:firstLine="540"/>
        <w:jc w:val="both"/>
      </w:pPr>
      <w:r>
        <w:t>- использование различных слов или словосочетаний, их сокращений, дополняющих основное наименование, характеризующих родовые или видовые признаки предмета (например, слова и словосочетания: холдинг, фирма, компания, организация, ассоциация, управляющая компания (УК), управляющая организация (УО), группа компаний (ГК), группа предприятий (ГП), Жилищно-коммунальное хозяйство (ЖКХ), ремонтно-эксплуатационный участок (РЭУ), жилищно-эксплуатационный участок (ЖЭУ), жилищно-эксплуатационная контора (ЖЭК), жилищно-коммунальное управление (ЖКУ); примеры их использования в наименованиях: ООО "Сервис" и ООО "Управляющая компания Сервис", ООО "Мастер" и ООО ЖЭУ "Мастер");</w:t>
      </w:r>
    </w:p>
    <w:p w:rsidR="008C0455" w:rsidRDefault="008C0455">
      <w:pPr>
        <w:pStyle w:val="ConsPlusNormal"/>
        <w:spacing w:before="220"/>
        <w:ind w:firstLine="540"/>
        <w:jc w:val="both"/>
      </w:pPr>
      <w:r>
        <w:t>- использование словесного описания символов, знаков препинания, орфографических знаков применительно к одинаковым словам, словосочетаниям (например, ООО УК "Эталон" и ООО УК "Эталон плюс");</w:t>
      </w:r>
    </w:p>
    <w:p w:rsidR="008C0455" w:rsidRDefault="008C0455">
      <w:pPr>
        <w:pStyle w:val="ConsPlusNormal"/>
        <w:spacing w:before="220"/>
        <w:ind w:firstLine="540"/>
        <w:jc w:val="both"/>
      </w:pPr>
      <w:r>
        <w:t>- указание на различную организационно-правовую форму юридических лиц с одинаковым или схожим до степени смешения наименованием (например, МУП "Служба единого заказчика" и ООО "Служба единого заказчика").</w:t>
      </w:r>
    </w:p>
    <w:p w:rsidR="008C0455" w:rsidRDefault="008C0455">
      <w:pPr>
        <w:pStyle w:val="ConsPlusNormal"/>
        <w:spacing w:before="220"/>
        <w:ind w:firstLine="540"/>
        <w:jc w:val="both"/>
      </w:pPr>
      <w:r>
        <w:t>При этом под смысловым сходством наименований не рекомендуется понимать следующие случаи:</w:t>
      </w:r>
    </w:p>
    <w:p w:rsidR="008C0455" w:rsidRDefault="008C0455">
      <w:pPr>
        <w:pStyle w:val="ConsPlusNormal"/>
        <w:spacing w:before="220"/>
        <w:ind w:firstLine="540"/>
        <w:jc w:val="both"/>
      </w:pPr>
      <w:r>
        <w:t>- совпадение одного из элементов (слов) наименования, если дополнительный элемент (слово) носит самостоятельный характер (признак) (например, ООО УК "Комфорт" и ООО "КОМФОРТ СЕРВИС", ООО "Сервис" и ООО "Сити-Сервис", ООО УК "Мой дом" и ООО "УК "Наш дом");</w:t>
      </w:r>
    </w:p>
    <w:p w:rsidR="008C0455" w:rsidRDefault="008C0455">
      <w:pPr>
        <w:pStyle w:val="ConsPlusNormal"/>
        <w:spacing w:before="220"/>
        <w:ind w:firstLine="540"/>
        <w:jc w:val="both"/>
      </w:pPr>
      <w:r>
        <w:t>- использование различных географических или топографических обозначений (например, ГБУ "Жилищник района Кузьминки" и ГБУ "Жилищник района Марьино", ООО "ЖКС N 2 Калининского района" и ООО "ЖКС N 2 Выборгского района").</w:t>
      </w:r>
    </w:p>
    <w:p w:rsidR="008C0455" w:rsidRDefault="008C0455">
      <w:pPr>
        <w:pStyle w:val="ConsPlusNormal"/>
        <w:spacing w:before="220"/>
        <w:ind w:firstLine="540"/>
        <w:jc w:val="both"/>
      </w:pPr>
      <w:r>
        <w:t>Звуковое (фонетическое) сходство наименований может определяться по наличию ассонанса (при совпадении или близости произношения, созвучности) при различном написании слов (ООО "Трест" и ООО "Трестъ"; ООО "Дымов" и ООО "Дымофф").</w:t>
      </w:r>
    </w:p>
    <w:p w:rsidR="008C0455" w:rsidRDefault="008C0455">
      <w:pPr>
        <w:pStyle w:val="ConsPlusNormal"/>
        <w:spacing w:before="220"/>
        <w:ind w:firstLine="540"/>
        <w:jc w:val="both"/>
      </w:pPr>
      <w:r>
        <w:t>Вышеуказанные признаки рекомендуется учитывать, как каждый в отдельности, так и в различных сочетаниях.</w:t>
      </w:r>
    </w:p>
    <w:p w:rsidR="008C0455" w:rsidRDefault="008C0455">
      <w:pPr>
        <w:pStyle w:val="ConsPlusNormal"/>
        <w:spacing w:before="220"/>
        <w:ind w:firstLine="540"/>
        <w:jc w:val="both"/>
      </w:pPr>
      <w:r>
        <w:t>При определении даты возникновения права лицензиата на осуществление предпринимательской деятельности по управлению многоквартирными домами рекомендуется учитывать следующее.</w:t>
      </w:r>
    </w:p>
    <w:p w:rsidR="008C0455" w:rsidRDefault="008C0455">
      <w:pPr>
        <w:pStyle w:val="ConsPlusNormal"/>
        <w:spacing w:before="220"/>
        <w:ind w:firstLine="540"/>
        <w:jc w:val="both"/>
      </w:pPr>
      <w:r>
        <w:t xml:space="preserve">В соответствии с </w:t>
      </w:r>
      <w:hyperlink r:id="rId7">
        <w:r>
          <w:rPr>
            <w:color w:val="0000FF"/>
          </w:rPr>
          <w:t>частью 1 статьи 192</w:t>
        </w:r>
      </w:hyperlink>
      <w:r>
        <w:t xml:space="preserve"> ЖК РФ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на основании решения лицензионной комиссии субъекта Российской Федерации. При этом согласно </w:t>
      </w:r>
      <w:hyperlink r:id="rId8">
        <w:r>
          <w:rPr>
            <w:color w:val="0000FF"/>
          </w:rPr>
          <w:t>части 1 статьи 7</w:t>
        </w:r>
      </w:hyperlink>
      <w:r>
        <w:t xml:space="preserve"> Федерального закона от 21 июля 2014 г.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после 1 мая 2015 года осуществление предпринимательской деятельности по управлению многоквартирными домами без лицензии не допускается. Таким образом, дату возникновения права на осуществление предпринимательской деятельности по управлению многоквартирными домами рекомендуется определять датой выдачи лицензии на осуществление предпринимательской деятельности по управлению многоквартирными домами. В случае, когда дата выдачи лицензий на осуществление деятельности по управлению многоквартирными домами совпадает, более ранним, по мнению </w:t>
      </w:r>
      <w:r>
        <w:lastRenderedPageBreak/>
        <w:t>Минстроя России, рекомендуется считать возникновение права у лицензиата на осуществление предпринимательской деятельности по управлению многоквартирными домами с меньшим числом номера лицензии.</w:t>
      </w:r>
    </w:p>
    <w:p w:rsidR="008C0455" w:rsidRDefault="008C0455">
      <w:pPr>
        <w:pStyle w:val="ConsPlusNormal"/>
        <w:spacing w:before="220"/>
        <w:ind w:firstLine="540"/>
        <w:jc w:val="both"/>
      </w:pPr>
      <w:r>
        <w:t xml:space="preserve">Дополнительно сообщаем, что в соответствии с </w:t>
      </w:r>
      <w:hyperlink r:id="rId9">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8C0455" w:rsidRDefault="008C0455">
      <w:pPr>
        <w:pStyle w:val="ConsPlusNormal"/>
        <w:spacing w:before="220"/>
        <w:ind w:firstLine="540"/>
        <w:jc w:val="both"/>
      </w:pPr>
      <w:r>
        <w:t>В этой связи, 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8C0455" w:rsidRDefault="008C0455">
      <w:pPr>
        <w:pStyle w:val="ConsPlusNormal"/>
        <w:ind w:firstLine="540"/>
        <w:jc w:val="both"/>
      </w:pPr>
    </w:p>
    <w:p w:rsidR="008C0455" w:rsidRDefault="008C0455">
      <w:pPr>
        <w:pStyle w:val="ConsPlusNormal"/>
        <w:jc w:val="right"/>
      </w:pPr>
      <w:r>
        <w:t>А.В.ЧИБИС</w:t>
      </w:r>
    </w:p>
    <w:p w:rsidR="008C0455" w:rsidRDefault="008C0455">
      <w:pPr>
        <w:pStyle w:val="ConsPlusNormal"/>
        <w:jc w:val="both"/>
      </w:pPr>
    </w:p>
    <w:p w:rsidR="008C0455" w:rsidRDefault="008C0455">
      <w:pPr>
        <w:pStyle w:val="ConsPlusNormal"/>
        <w:jc w:val="both"/>
      </w:pPr>
    </w:p>
    <w:p w:rsidR="008C0455" w:rsidRDefault="008C0455">
      <w:pPr>
        <w:pStyle w:val="ConsPlusNormal"/>
        <w:pBdr>
          <w:bottom w:val="single" w:sz="6" w:space="0" w:color="auto"/>
        </w:pBdr>
        <w:spacing w:before="100" w:after="100"/>
        <w:jc w:val="both"/>
        <w:rPr>
          <w:sz w:val="2"/>
          <w:szCs w:val="2"/>
        </w:rPr>
      </w:pPr>
    </w:p>
    <w:p w:rsidR="00973FCB" w:rsidRDefault="00973FCB">
      <w:bookmarkStart w:id="0" w:name="_GoBack"/>
      <w:bookmarkEnd w:id="0"/>
    </w:p>
    <w:sectPr w:rsidR="00973FCB" w:rsidSect="00B44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55"/>
    <w:rsid w:val="008C0455"/>
    <w:rsid w:val="0097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B0AF9-3DB7-44F2-8734-DF4D4108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04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045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045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DDE5F80262B97C6F3727A60ADEF2E4525BF79F014DC8A50D308C4FAFAD7E56CD26B1E18ED54A0AAE92CE035A2B5FAE85AAA176A399F759q4PAH" TargetMode="External"/><Relationship Id="rId3" Type="http://schemas.openxmlformats.org/officeDocument/2006/relationships/webSettings" Target="webSettings.xml"/><Relationship Id="rId7" Type="http://schemas.openxmlformats.org/officeDocument/2006/relationships/hyperlink" Target="consultantplus://offline/ref=53DDE5F80262B97C6F3727A60ADEF2E4525AF69F0E45C8A50D308C4FAFAD7E56CD26B1E48BD74056FBDDCF5F1E784CAE81AAA374BFq9P8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3DDE5F80262B97C6F3727A60ADEF2E4525AF69F0E45C8A50D308C4FAFAD7E56CD26B1E78FD34056FBDDCF5F1E784CAE81AAA374BFq9P8H" TargetMode="External"/><Relationship Id="rId11" Type="http://schemas.openxmlformats.org/officeDocument/2006/relationships/theme" Target="theme/theme1.xml"/><Relationship Id="rId5" Type="http://schemas.openxmlformats.org/officeDocument/2006/relationships/hyperlink" Target="consultantplus://offline/ref=53DDE5F80262B97C6F3727A60ADEF2E4525AF4920A4CC8A50D308C4FAFAD7E56CD26B1E18ED44F06A392CE035A2B5FAE85AAA176A399F759q4PAH"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3DDE5F80262B97C6F3727A60ADEF2E4525AF79F0D42C8A50D308C4FAFAD7E56CD26B1E18ED54B01AB92CE035A2B5FAE85AAA176A399F759q4P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Валерия Алексеевна</dc:creator>
  <cp:keywords/>
  <dc:description/>
  <cp:lastModifiedBy>Жеребцова Валерия Алексеевна</cp:lastModifiedBy>
  <cp:revision>1</cp:revision>
  <dcterms:created xsi:type="dcterms:W3CDTF">2023-02-06T07:15:00Z</dcterms:created>
  <dcterms:modified xsi:type="dcterms:W3CDTF">2023-02-06T07:16:00Z</dcterms:modified>
</cp:coreProperties>
</file>