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7A" w:rsidRDefault="001E3697" w:rsidP="001E3697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344D7B">
        <w:rPr>
          <w:b/>
          <w:sz w:val="28"/>
          <w:szCs w:val="28"/>
        </w:rPr>
        <w:t xml:space="preserve">Рассмотрение обращений граждан </w:t>
      </w:r>
    </w:p>
    <w:p w:rsidR="001E3697" w:rsidRPr="00344D7B" w:rsidRDefault="001E3697" w:rsidP="001E3697">
      <w:pPr>
        <w:ind w:left="360"/>
        <w:jc w:val="center"/>
        <w:rPr>
          <w:b/>
          <w:sz w:val="28"/>
          <w:szCs w:val="28"/>
        </w:rPr>
      </w:pPr>
      <w:r w:rsidRPr="00344D7B">
        <w:rPr>
          <w:b/>
          <w:sz w:val="28"/>
          <w:szCs w:val="28"/>
        </w:rPr>
        <w:t>и принятие мер по удовлетворению</w:t>
      </w:r>
      <w:r w:rsidR="006D608E">
        <w:rPr>
          <w:b/>
          <w:sz w:val="28"/>
          <w:szCs w:val="28"/>
        </w:rPr>
        <w:t xml:space="preserve"> законных требований заявителей</w:t>
      </w:r>
    </w:p>
    <w:p w:rsidR="001E3697" w:rsidRPr="00344D7B" w:rsidRDefault="001E3697" w:rsidP="001E3697">
      <w:pPr>
        <w:jc w:val="center"/>
        <w:rPr>
          <w:b/>
          <w:sz w:val="28"/>
          <w:szCs w:val="28"/>
        </w:rPr>
      </w:pPr>
    </w:p>
    <w:p w:rsidR="00693F07" w:rsidRDefault="00693F07" w:rsidP="00693F07">
      <w:pPr>
        <w:pStyle w:val="30"/>
        <w:spacing w:line="276" w:lineRule="auto"/>
        <w:rPr>
          <w:sz w:val="28"/>
          <w:szCs w:val="28"/>
        </w:rPr>
      </w:pPr>
    </w:p>
    <w:p w:rsidR="00E96BDF" w:rsidRPr="00A6587A" w:rsidRDefault="00F17FAA" w:rsidP="00E96BDF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30098">
        <w:rPr>
          <w:sz w:val="28"/>
          <w:szCs w:val="28"/>
        </w:rPr>
        <w:t xml:space="preserve">2016 </w:t>
      </w:r>
      <w:r w:rsidR="00E96BDF">
        <w:rPr>
          <w:sz w:val="28"/>
          <w:szCs w:val="28"/>
        </w:rPr>
        <w:t xml:space="preserve">г. в инспекцию поступило </w:t>
      </w:r>
      <w:r w:rsidR="00421551">
        <w:rPr>
          <w:sz w:val="28"/>
          <w:szCs w:val="28"/>
        </w:rPr>
        <w:t>18388</w:t>
      </w:r>
      <w:r w:rsidR="00E96BD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E96BDF">
        <w:rPr>
          <w:sz w:val="28"/>
          <w:szCs w:val="28"/>
        </w:rPr>
        <w:t xml:space="preserve"> граждан и организаций. </w:t>
      </w:r>
      <w:r w:rsidR="00E96BDF" w:rsidRPr="00A6587A">
        <w:rPr>
          <w:sz w:val="28"/>
          <w:szCs w:val="28"/>
        </w:rPr>
        <w:t>По сравнению с 201</w:t>
      </w:r>
      <w:r w:rsidR="00730098">
        <w:rPr>
          <w:sz w:val="28"/>
          <w:szCs w:val="28"/>
        </w:rPr>
        <w:t>5</w:t>
      </w:r>
      <w:r w:rsidR="00E96BDF" w:rsidRPr="00A6587A">
        <w:rPr>
          <w:sz w:val="28"/>
          <w:szCs w:val="28"/>
        </w:rPr>
        <w:t xml:space="preserve"> г. количество обращений </w:t>
      </w:r>
      <w:r w:rsidR="00CA3DDF">
        <w:rPr>
          <w:sz w:val="28"/>
          <w:szCs w:val="28"/>
        </w:rPr>
        <w:t>увеличилось в 1,</w:t>
      </w:r>
      <w:r>
        <w:rPr>
          <w:sz w:val="28"/>
          <w:szCs w:val="28"/>
        </w:rPr>
        <w:t>2</w:t>
      </w:r>
      <w:r w:rsidR="00CA3DDF">
        <w:rPr>
          <w:sz w:val="28"/>
          <w:szCs w:val="28"/>
        </w:rPr>
        <w:t xml:space="preserve"> раза</w:t>
      </w:r>
      <w:r w:rsidR="00E96BDF" w:rsidRPr="00A6587A">
        <w:rPr>
          <w:sz w:val="28"/>
          <w:szCs w:val="28"/>
        </w:rPr>
        <w:t xml:space="preserve"> (с </w:t>
      </w:r>
      <w:r w:rsidR="00421551">
        <w:rPr>
          <w:sz w:val="28"/>
          <w:szCs w:val="28"/>
        </w:rPr>
        <w:t>15704</w:t>
      </w:r>
      <w:r w:rsidR="00E96BDF" w:rsidRPr="00A6587A">
        <w:rPr>
          <w:sz w:val="28"/>
          <w:szCs w:val="28"/>
        </w:rPr>
        <w:t xml:space="preserve"> </w:t>
      </w:r>
      <w:r w:rsidR="00CA3DDF">
        <w:rPr>
          <w:sz w:val="28"/>
          <w:szCs w:val="28"/>
        </w:rPr>
        <w:t>до</w:t>
      </w:r>
      <w:r w:rsidR="00E96BDF" w:rsidRPr="00A6587A">
        <w:rPr>
          <w:sz w:val="28"/>
          <w:szCs w:val="28"/>
        </w:rPr>
        <w:t xml:space="preserve"> </w:t>
      </w:r>
      <w:r w:rsidR="00421551">
        <w:rPr>
          <w:sz w:val="28"/>
          <w:szCs w:val="28"/>
        </w:rPr>
        <w:t>18388</w:t>
      </w:r>
      <w:r w:rsidR="00E96BDF" w:rsidRPr="00A6587A">
        <w:rPr>
          <w:sz w:val="28"/>
          <w:szCs w:val="28"/>
        </w:rPr>
        <w:t>), в</w:t>
      </w:r>
      <w:r w:rsidR="001E44DB">
        <w:rPr>
          <w:sz w:val="28"/>
          <w:szCs w:val="28"/>
        </w:rPr>
        <w:t xml:space="preserve"> </w:t>
      </w:r>
      <w:r w:rsidR="00D7315B">
        <w:rPr>
          <w:sz w:val="28"/>
          <w:szCs w:val="28"/>
        </w:rPr>
        <w:t>1,</w:t>
      </w:r>
      <w:r w:rsidR="00421551">
        <w:rPr>
          <w:sz w:val="28"/>
          <w:szCs w:val="28"/>
        </w:rPr>
        <w:t>7</w:t>
      </w:r>
      <w:r w:rsidR="00E96BDF" w:rsidRPr="00A6587A">
        <w:rPr>
          <w:sz w:val="28"/>
          <w:szCs w:val="28"/>
        </w:rPr>
        <w:t xml:space="preserve"> раза превышены показатели аналогичного периода 201</w:t>
      </w:r>
      <w:r>
        <w:rPr>
          <w:sz w:val="28"/>
          <w:szCs w:val="28"/>
        </w:rPr>
        <w:t>4</w:t>
      </w:r>
      <w:r w:rsidR="00E96BDF" w:rsidRPr="00A6587A">
        <w:rPr>
          <w:sz w:val="28"/>
          <w:szCs w:val="28"/>
        </w:rPr>
        <w:t xml:space="preserve"> г. (</w:t>
      </w:r>
      <w:proofErr w:type="gramStart"/>
      <w:r w:rsidR="00E96BDF" w:rsidRPr="00A6587A">
        <w:rPr>
          <w:sz w:val="28"/>
          <w:szCs w:val="28"/>
        </w:rPr>
        <w:t>с</w:t>
      </w:r>
      <w:proofErr w:type="gramEnd"/>
      <w:r w:rsidR="00E96BDF" w:rsidRPr="00A6587A">
        <w:rPr>
          <w:sz w:val="28"/>
          <w:szCs w:val="28"/>
        </w:rPr>
        <w:t xml:space="preserve"> </w:t>
      </w:r>
      <w:r w:rsidR="00421551">
        <w:rPr>
          <w:sz w:val="28"/>
          <w:szCs w:val="28"/>
        </w:rPr>
        <w:t>11033</w:t>
      </w:r>
      <w:r w:rsidR="00E96BDF" w:rsidRPr="00A6587A">
        <w:rPr>
          <w:sz w:val="28"/>
          <w:szCs w:val="28"/>
        </w:rPr>
        <w:t xml:space="preserve"> до </w:t>
      </w:r>
      <w:r w:rsidR="00421551">
        <w:rPr>
          <w:sz w:val="28"/>
          <w:szCs w:val="28"/>
        </w:rPr>
        <w:t>18388</w:t>
      </w:r>
      <w:r w:rsidR="00E96BDF" w:rsidRPr="00A6587A">
        <w:rPr>
          <w:sz w:val="28"/>
          <w:szCs w:val="28"/>
        </w:rPr>
        <w:t xml:space="preserve">). </w:t>
      </w:r>
    </w:p>
    <w:p w:rsidR="00482984" w:rsidRDefault="00482984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>Динамика роста числа обращений наглядно иллюстрируется следующим графиком:</w:t>
      </w:r>
    </w:p>
    <w:p w:rsidR="00311E37" w:rsidRDefault="00311E37" w:rsidP="00693F07">
      <w:pPr>
        <w:pStyle w:val="30"/>
        <w:spacing w:line="276" w:lineRule="auto"/>
        <w:rPr>
          <w:sz w:val="28"/>
          <w:szCs w:val="28"/>
        </w:rPr>
      </w:pPr>
    </w:p>
    <w:p w:rsidR="002C45FD" w:rsidRPr="00257DB2" w:rsidRDefault="00730098" w:rsidP="00730098">
      <w:pPr>
        <w:pStyle w:val="30"/>
        <w:spacing w:line="276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7915" cy="2198077"/>
            <wp:effectExtent l="19050" t="0" r="1758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4D7B" w:rsidRPr="00344D7B" w:rsidRDefault="00344D7B" w:rsidP="00E96BDF">
      <w:pPr>
        <w:pStyle w:val="30"/>
        <w:spacing w:line="264" w:lineRule="auto"/>
        <w:ind w:firstLine="0"/>
        <w:rPr>
          <w:sz w:val="28"/>
          <w:szCs w:val="28"/>
        </w:rPr>
      </w:pPr>
    </w:p>
    <w:p w:rsidR="00A22A02" w:rsidRPr="00257DB2" w:rsidRDefault="007244B1" w:rsidP="00693F07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 и в предыдущие периоды, н</w:t>
      </w:r>
      <w:r w:rsidR="00A22A02" w:rsidRPr="00257DB2">
        <w:rPr>
          <w:sz w:val="28"/>
          <w:szCs w:val="28"/>
        </w:rPr>
        <w:t>аибольшее количество обращений получено от граждан, проживающих на территории областного центра (</w:t>
      </w:r>
      <w:r w:rsidR="00421551">
        <w:rPr>
          <w:sz w:val="28"/>
          <w:szCs w:val="28"/>
        </w:rPr>
        <w:t>16656</w:t>
      </w:r>
      <w:r w:rsidR="00A22A02" w:rsidRPr="00257DB2">
        <w:rPr>
          <w:sz w:val="28"/>
          <w:szCs w:val="28"/>
        </w:rPr>
        <w:t xml:space="preserve"> или </w:t>
      </w:r>
      <w:r w:rsidR="00421551">
        <w:rPr>
          <w:sz w:val="28"/>
          <w:szCs w:val="28"/>
        </w:rPr>
        <w:t>91</w:t>
      </w:r>
      <w:r w:rsidR="00A22A02" w:rsidRPr="00257DB2">
        <w:rPr>
          <w:sz w:val="28"/>
          <w:szCs w:val="28"/>
        </w:rPr>
        <w:t xml:space="preserve">% от общего числа обращений). Из муниципальных районов области поступило </w:t>
      </w:r>
      <w:r w:rsidR="00421551">
        <w:rPr>
          <w:sz w:val="28"/>
          <w:szCs w:val="28"/>
        </w:rPr>
        <w:t>1732</w:t>
      </w:r>
      <w:r w:rsidR="00A22A02" w:rsidRPr="00257DB2">
        <w:rPr>
          <w:sz w:val="28"/>
          <w:szCs w:val="28"/>
        </w:rPr>
        <w:t xml:space="preserve"> обращени</w:t>
      </w:r>
      <w:r w:rsidR="00421551">
        <w:rPr>
          <w:sz w:val="28"/>
          <w:szCs w:val="28"/>
        </w:rPr>
        <w:t>я</w:t>
      </w:r>
      <w:r w:rsidR="00A22A02" w:rsidRPr="00257DB2">
        <w:rPr>
          <w:sz w:val="28"/>
          <w:szCs w:val="28"/>
        </w:rPr>
        <w:t xml:space="preserve"> (</w:t>
      </w:r>
      <w:r w:rsidR="00421551">
        <w:rPr>
          <w:sz w:val="28"/>
          <w:szCs w:val="28"/>
        </w:rPr>
        <w:t>9</w:t>
      </w:r>
      <w:r w:rsidR="00A22A02" w:rsidRPr="00257DB2">
        <w:rPr>
          <w:sz w:val="28"/>
          <w:szCs w:val="28"/>
        </w:rPr>
        <w:t xml:space="preserve">%). </w:t>
      </w:r>
      <w:r w:rsidR="00D7315B">
        <w:rPr>
          <w:sz w:val="28"/>
          <w:szCs w:val="28"/>
        </w:rPr>
        <w:t>Около</w:t>
      </w:r>
      <w:r w:rsidR="00A22A02" w:rsidRPr="00257DB2">
        <w:rPr>
          <w:sz w:val="28"/>
          <w:szCs w:val="28"/>
        </w:rPr>
        <w:t xml:space="preserve"> половин</w:t>
      </w:r>
      <w:r w:rsidR="00C82584" w:rsidRPr="00257DB2">
        <w:rPr>
          <w:sz w:val="28"/>
          <w:szCs w:val="28"/>
        </w:rPr>
        <w:t>ы</w:t>
      </w:r>
      <w:r w:rsidR="00A22A02" w:rsidRPr="00257DB2">
        <w:rPr>
          <w:sz w:val="28"/>
          <w:szCs w:val="28"/>
        </w:rPr>
        <w:t xml:space="preserve"> (</w:t>
      </w:r>
      <w:r w:rsidR="00421551">
        <w:rPr>
          <w:sz w:val="28"/>
          <w:szCs w:val="28"/>
        </w:rPr>
        <w:t>8416</w:t>
      </w:r>
      <w:r w:rsidR="00A22A02" w:rsidRPr="00257DB2">
        <w:rPr>
          <w:sz w:val="28"/>
          <w:szCs w:val="28"/>
        </w:rPr>
        <w:t xml:space="preserve"> или </w:t>
      </w:r>
      <w:r w:rsidR="00F17FAA">
        <w:rPr>
          <w:sz w:val="28"/>
          <w:szCs w:val="28"/>
        </w:rPr>
        <w:t>46</w:t>
      </w:r>
      <w:r w:rsidR="00A22A02" w:rsidRPr="00257DB2">
        <w:rPr>
          <w:sz w:val="28"/>
          <w:szCs w:val="28"/>
        </w:rPr>
        <w:t>%) всех обращений направлены для рассмотрения в жилищную инспекцию территориальными органами федеральных органов власти (</w:t>
      </w:r>
      <w:r w:rsidR="00421551">
        <w:rPr>
          <w:sz w:val="28"/>
          <w:szCs w:val="28"/>
        </w:rPr>
        <w:t>4739</w:t>
      </w:r>
      <w:r w:rsidR="00A22A02" w:rsidRPr="00257DB2">
        <w:rPr>
          <w:sz w:val="28"/>
          <w:szCs w:val="28"/>
        </w:rPr>
        <w:t xml:space="preserve"> или </w:t>
      </w:r>
      <w:r w:rsidR="00F17FAA">
        <w:rPr>
          <w:sz w:val="28"/>
          <w:szCs w:val="28"/>
        </w:rPr>
        <w:t>26</w:t>
      </w:r>
      <w:r w:rsidR="00A22A02" w:rsidRPr="00257DB2">
        <w:rPr>
          <w:sz w:val="28"/>
          <w:szCs w:val="28"/>
        </w:rPr>
        <w:t>%) и правительством области (</w:t>
      </w:r>
      <w:r w:rsidR="00421551">
        <w:rPr>
          <w:sz w:val="28"/>
          <w:szCs w:val="28"/>
        </w:rPr>
        <w:t>3677</w:t>
      </w:r>
      <w:r w:rsidR="00A22A02" w:rsidRPr="00257DB2">
        <w:rPr>
          <w:sz w:val="28"/>
          <w:szCs w:val="28"/>
        </w:rPr>
        <w:t xml:space="preserve"> или </w:t>
      </w:r>
      <w:r w:rsidR="00421551">
        <w:rPr>
          <w:sz w:val="28"/>
          <w:szCs w:val="28"/>
        </w:rPr>
        <w:t>20</w:t>
      </w:r>
      <w:r w:rsidR="00A22A02" w:rsidRPr="00257DB2">
        <w:rPr>
          <w:sz w:val="28"/>
          <w:szCs w:val="28"/>
        </w:rPr>
        <w:t>%).</w:t>
      </w:r>
    </w:p>
    <w:p w:rsidR="00A22A02" w:rsidRPr="00257DB2" w:rsidRDefault="00C82584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По сравнению с </w:t>
      </w:r>
      <w:r w:rsidR="008310A6">
        <w:rPr>
          <w:sz w:val="28"/>
          <w:szCs w:val="28"/>
        </w:rPr>
        <w:t>аналогичным периодом</w:t>
      </w:r>
      <w:r w:rsidRPr="00257DB2">
        <w:rPr>
          <w:sz w:val="28"/>
          <w:szCs w:val="28"/>
        </w:rPr>
        <w:t xml:space="preserve"> </w:t>
      </w:r>
      <w:r w:rsidR="008310A6">
        <w:rPr>
          <w:sz w:val="28"/>
          <w:szCs w:val="28"/>
        </w:rPr>
        <w:t>прошлого года</w:t>
      </w:r>
      <w:r w:rsidRPr="00257DB2">
        <w:rPr>
          <w:sz w:val="28"/>
          <w:szCs w:val="28"/>
        </w:rPr>
        <w:t xml:space="preserve"> </w:t>
      </w:r>
      <w:r w:rsidRPr="005F4FAF">
        <w:rPr>
          <w:sz w:val="28"/>
          <w:szCs w:val="28"/>
        </w:rPr>
        <w:t>д</w:t>
      </w:r>
      <w:r w:rsidR="00A22A02" w:rsidRPr="005F4FAF">
        <w:rPr>
          <w:sz w:val="28"/>
          <w:szCs w:val="28"/>
        </w:rPr>
        <w:t>оля</w:t>
      </w:r>
      <w:r w:rsidR="00A22A02" w:rsidRPr="00257DB2">
        <w:rPr>
          <w:sz w:val="28"/>
          <w:szCs w:val="28"/>
        </w:rPr>
        <w:t xml:space="preserve"> обращений, поступивших </w:t>
      </w:r>
      <w:r w:rsidR="00552B19" w:rsidRPr="00257DB2">
        <w:rPr>
          <w:sz w:val="28"/>
          <w:szCs w:val="28"/>
        </w:rPr>
        <w:t xml:space="preserve">в отчетном периоде </w:t>
      </w:r>
      <w:r w:rsidR="00A22A02" w:rsidRPr="00257DB2">
        <w:rPr>
          <w:sz w:val="28"/>
          <w:szCs w:val="28"/>
        </w:rPr>
        <w:t>из правительства области, в общем количестве обращений</w:t>
      </w:r>
      <w:r w:rsidR="00A54DC4">
        <w:rPr>
          <w:sz w:val="28"/>
          <w:szCs w:val="28"/>
        </w:rPr>
        <w:t xml:space="preserve"> </w:t>
      </w:r>
      <w:r w:rsidR="00F17FAA">
        <w:rPr>
          <w:sz w:val="28"/>
          <w:szCs w:val="28"/>
        </w:rPr>
        <w:t>не изменилась</w:t>
      </w:r>
      <w:r w:rsidR="00A22A02" w:rsidRPr="00257DB2">
        <w:rPr>
          <w:sz w:val="28"/>
          <w:szCs w:val="28"/>
        </w:rPr>
        <w:t xml:space="preserve"> (</w:t>
      </w:r>
      <w:r w:rsidR="00421551">
        <w:rPr>
          <w:sz w:val="28"/>
          <w:szCs w:val="28"/>
        </w:rPr>
        <w:t>20</w:t>
      </w:r>
      <w:r w:rsidR="00A22A02" w:rsidRPr="00257DB2">
        <w:rPr>
          <w:sz w:val="28"/>
          <w:szCs w:val="28"/>
        </w:rPr>
        <w:t xml:space="preserve">% </w:t>
      </w:r>
      <w:r w:rsidR="00552B19" w:rsidRPr="00257DB2">
        <w:rPr>
          <w:sz w:val="28"/>
          <w:szCs w:val="28"/>
        </w:rPr>
        <w:t>в 201</w:t>
      </w:r>
      <w:r w:rsidR="00311E37">
        <w:rPr>
          <w:sz w:val="28"/>
          <w:szCs w:val="28"/>
        </w:rPr>
        <w:t>6</w:t>
      </w:r>
      <w:r w:rsidR="00B817CA">
        <w:rPr>
          <w:sz w:val="28"/>
          <w:szCs w:val="28"/>
        </w:rPr>
        <w:t xml:space="preserve"> </w:t>
      </w:r>
      <w:r w:rsidR="00552B19" w:rsidRPr="00257DB2">
        <w:rPr>
          <w:sz w:val="28"/>
          <w:szCs w:val="28"/>
        </w:rPr>
        <w:t xml:space="preserve">г. </w:t>
      </w:r>
      <w:r w:rsidR="00F17FAA">
        <w:rPr>
          <w:sz w:val="28"/>
          <w:szCs w:val="28"/>
        </w:rPr>
        <w:t xml:space="preserve">и </w:t>
      </w:r>
      <w:r w:rsidR="00421551">
        <w:rPr>
          <w:sz w:val="28"/>
          <w:szCs w:val="28"/>
        </w:rPr>
        <w:t xml:space="preserve">19% </w:t>
      </w:r>
      <w:r w:rsidR="00B817CA">
        <w:rPr>
          <w:sz w:val="28"/>
          <w:szCs w:val="28"/>
        </w:rPr>
        <w:t>в 201</w:t>
      </w:r>
      <w:r w:rsidR="00311E37">
        <w:rPr>
          <w:sz w:val="28"/>
          <w:szCs w:val="28"/>
        </w:rPr>
        <w:t>5</w:t>
      </w:r>
      <w:r w:rsidR="00B817CA">
        <w:rPr>
          <w:sz w:val="28"/>
          <w:szCs w:val="28"/>
        </w:rPr>
        <w:t xml:space="preserve"> г.)</w:t>
      </w:r>
      <w:r w:rsidRPr="00257DB2">
        <w:rPr>
          <w:sz w:val="28"/>
          <w:szCs w:val="28"/>
        </w:rPr>
        <w:t xml:space="preserve">. </w:t>
      </w:r>
      <w:r w:rsidR="00421551">
        <w:rPr>
          <w:sz w:val="28"/>
          <w:szCs w:val="28"/>
        </w:rPr>
        <w:t>В то же время</w:t>
      </w:r>
      <w:r w:rsidR="00F17FAA" w:rsidRPr="00257DB2">
        <w:rPr>
          <w:sz w:val="28"/>
          <w:szCs w:val="28"/>
        </w:rPr>
        <w:t xml:space="preserve"> </w:t>
      </w:r>
      <w:r w:rsidR="00F17FAA">
        <w:rPr>
          <w:sz w:val="28"/>
          <w:szCs w:val="28"/>
        </w:rPr>
        <w:t>д</w:t>
      </w:r>
      <w:r w:rsidR="00F17FAA" w:rsidRPr="00257DB2">
        <w:rPr>
          <w:sz w:val="28"/>
          <w:szCs w:val="28"/>
        </w:rPr>
        <w:t xml:space="preserve">оля </w:t>
      </w:r>
      <w:r w:rsidRPr="00257DB2">
        <w:rPr>
          <w:sz w:val="28"/>
          <w:szCs w:val="28"/>
        </w:rPr>
        <w:t>обращений, направленных в жилищную инспекцию из органов прокуратуры</w:t>
      </w:r>
      <w:r w:rsidR="00421551">
        <w:rPr>
          <w:sz w:val="28"/>
          <w:szCs w:val="28"/>
        </w:rPr>
        <w:t>, заметно снизилась</w:t>
      </w:r>
      <w:r w:rsidR="00FE48AE">
        <w:rPr>
          <w:sz w:val="28"/>
          <w:szCs w:val="28"/>
        </w:rPr>
        <w:t xml:space="preserve"> </w:t>
      </w:r>
      <w:r w:rsidRPr="00257DB2">
        <w:rPr>
          <w:sz w:val="28"/>
          <w:szCs w:val="28"/>
        </w:rPr>
        <w:t>(</w:t>
      </w:r>
      <w:r w:rsidR="00421551">
        <w:rPr>
          <w:sz w:val="28"/>
          <w:szCs w:val="28"/>
        </w:rPr>
        <w:t>18</w:t>
      </w:r>
      <w:r w:rsidR="009B0DF4">
        <w:rPr>
          <w:sz w:val="28"/>
          <w:szCs w:val="28"/>
        </w:rPr>
        <w:t>%</w:t>
      </w:r>
      <w:r w:rsidRPr="00257DB2">
        <w:rPr>
          <w:sz w:val="28"/>
          <w:szCs w:val="28"/>
        </w:rPr>
        <w:t xml:space="preserve"> в 201</w:t>
      </w:r>
      <w:r w:rsidR="00311E37">
        <w:rPr>
          <w:sz w:val="28"/>
          <w:szCs w:val="28"/>
        </w:rPr>
        <w:t>6</w:t>
      </w:r>
      <w:r w:rsidRPr="00257DB2">
        <w:rPr>
          <w:sz w:val="28"/>
          <w:szCs w:val="28"/>
        </w:rPr>
        <w:t xml:space="preserve"> г. и </w:t>
      </w:r>
      <w:r w:rsidR="00421551">
        <w:rPr>
          <w:sz w:val="28"/>
          <w:szCs w:val="28"/>
        </w:rPr>
        <w:t>26</w:t>
      </w:r>
      <w:r w:rsidR="005F4FAF" w:rsidRPr="00155F3A">
        <w:rPr>
          <w:sz w:val="28"/>
          <w:szCs w:val="28"/>
        </w:rPr>
        <w:t xml:space="preserve">% </w:t>
      </w:r>
      <w:r w:rsidRPr="00257DB2">
        <w:rPr>
          <w:sz w:val="28"/>
          <w:szCs w:val="28"/>
        </w:rPr>
        <w:t xml:space="preserve"> в 201</w:t>
      </w:r>
      <w:r w:rsidR="00311E37">
        <w:rPr>
          <w:sz w:val="28"/>
          <w:szCs w:val="28"/>
        </w:rPr>
        <w:t>5</w:t>
      </w:r>
      <w:r w:rsidRPr="00257DB2">
        <w:rPr>
          <w:sz w:val="28"/>
          <w:szCs w:val="28"/>
        </w:rPr>
        <w:t>г.)</w:t>
      </w:r>
    </w:p>
    <w:p w:rsidR="00A22A02" w:rsidRPr="00257DB2" w:rsidRDefault="00A22A02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Непосредственно в инспекцию, в том числе с личного приема граждан ее руководителем, поступило </w:t>
      </w:r>
      <w:r w:rsidR="00421551">
        <w:rPr>
          <w:sz w:val="28"/>
          <w:szCs w:val="28"/>
        </w:rPr>
        <w:t>7375</w:t>
      </w:r>
      <w:r w:rsidRPr="00257DB2">
        <w:rPr>
          <w:sz w:val="28"/>
          <w:szCs w:val="28"/>
        </w:rPr>
        <w:t xml:space="preserve"> (</w:t>
      </w:r>
      <w:r w:rsidR="00421551">
        <w:rPr>
          <w:sz w:val="28"/>
          <w:szCs w:val="28"/>
        </w:rPr>
        <w:t>40</w:t>
      </w:r>
      <w:r w:rsidRPr="00257DB2">
        <w:rPr>
          <w:sz w:val="28"/>
          <w:szCs w:val="28"/>
        </w:rPr>
        <w:t>%) обращений</w:t>
      </w:r>
      <w:r w:rsidR="00421551">
        <w:rPr>
          <w:sz w:val="28"/>
          <w:szCs w:val="28"/>
        </w:rPr>
        <w:t xml:space="preserve"> </w:t>
      </w:r>
      <w:r w:rsidR="00421551">
        <w:rPr>
          <w:sz w:val="28"/>
          <w:szCs w:val="28"/>
        </w:rPr>
        <w:softHyphen/>
        <w:t>– практически так же, как и в предыдущие годы</w:t>
      </w:r>
      <w:r w:rsidRPr="00257DB2">
        <w:rPr>
          <w:sz w:val="28"/>
          <w:szCs w:val="28"/>
        </w:rPr>
        <w:t xml:space="preserve">. </w:t>
      </w:r>
    </w:p>
    <w:p w:rsidR="00A22A02" w:rsidRDefault="00A22A02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Более детально сравнительный анализ по годам и источникам поступления обращений представлен в нижеследующей таблице: </w:t>
      </w:r>
    </w:p>
    <w:p w:rsidR="000F1EA9" w:rsidRPr="00257DB2" w:rsidRDefault="000F1EA9" w:rsidP="00693F07">
      <w:pPr>
        <w:pStyle w:val="30"/>
        <w:spacing w:line="276" w:lineRule="auto"/>
        <w:rPr>
          <w:sz w:val="28"/>
          <w:szCs w:val="28"/>
        </w:rPr>
      </w:pPr>
    </w:p>
    <w:tbl>
      <w:tblPr>
        <w:tblStyle w:val="ab"/>
        <w:tblW w:w="9322" w:type="dxa"/>
        <w:shd w:val="clear" w:color="auto" w:fill="E5DFEC" w:themeFill="accent4" w:themeFillTint="33"/>
        <w:tblLook w:val="04A0"/>
      </w:tblPr>
      <w:tblGrid>
        <w:gridCol w:w="5495"/>
        <w:gridCol w:w="1276"/>
        <w:gridCol w:w="1275"/>
        <w:gridCol w:w="1276"/>
      </w:tblGrid>
      <w:tr w:rsidR="00421551" w:rsidRPr="007F7426" w:rsidTr="00421551">
        <w:trPr>
          <w:trHeight w:val="416"/>
        </w:trPr>
        <w:tc>
          <w:tcPr>
            <w:tcW w:w="5495" w:type="dxa"/>
            <w:shd w:val="clear" w:color="auto" w:fill="E5DFEC" w:themeFill="accent4" w:themeFillTint="33"/>
          </w:tcPr>
          <w:p w:rsidR="00421551" w:rsidRPr="00485DAE" w:rsidRDefault="00421551" w:rsidP="000F1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D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Источники поступления обращений 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421551" w:rsidRDefault="00421551" w:rsidP="00BC685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1551">
              <w:rPr>
                <w:rFonts w:ascii="Times New Roman" w:hAnsi="Times New Roman"/>
                <w:b/>
                <w:bCs/>
                <w:sz w:val="26"/>
                <w:szCs w:val="26"/>
              </w:rPr>
              <w:t>2014 год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421551" w:rsidRDefault="00421551" w:rsidP="00BC685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1551">
              <w:rPr>
                <w:rFonts w:ascii="Times New Roman" w:hAnsi="Times New Roman"/>
                <w:b/>
                <w:bCs/>
                <w:sz w:val="26"/>
                <w:szCs w:val="26"/>
              </w:rPr>
              <w:t>2015 год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421551" w:rsidRDefault="00421551" w:rsidP="0042155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1551">
              <w:rPr>
                <w:rFonts w:ascii="Times New Roman" w:hAnsi="Times New Roman"/>
                <w:b/>
                <w:bCs/>
                <w:sz w:val="26"/>
                <w:szCs w:val="26"/>
              </w:rPr>
              <w:t>201</w:t>
            </w:r>
            <w:r w:rsidRPr="00421551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4215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год</w:t>
            </w:r>
          </w:p>
        </w:tc>
      </w:tr>
      <w:tr w:rsidR="00421551" w:rsidRPr="007F7426" w:rsidTr="00CA3AE9">
        <w:trPr>
          <w:trHeight w:val="20"/>
        </w:trPr>
        <w:tc>
          <w:tcPr>
            <w:tcW w:w="5495" w:type="dxa"/>
            <w:shd w:val="clear" w:color="auto" w:fill="E5DFEC" w:themeFill="accent4" w:themeFillTint="33"/>
          </w:tcPr>
          <w:p w:rsidR="00421551" w:rsidRPr="008D3E52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 xml:space="preserve">Непосредственно от граждан, </w:t>
            </w:r>
          </w:p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4136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5583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7375</w:t>
            </w:r>
          </w:p>
        </w:tc>
      </w:tr>
      <w:tr w:rsidR="00421551" w:rsidRPr="007F7426" w:rsidTr="00CA3AE9">
        <w:trPr>
          <w:trHeight w:val="324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  <w:i/>
              </w:rPr>
            </w:pPr>
            <w:r w:rsidRPr="007F7426">
              <w:rPr>
                <w:rFonts w:ascii="Times New Roman" w:hAnsi="Times New Roman" w:cs="Times New Roman"/>
                <w:i/>
              </w:rPr>
              <w:t>на личном приеме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64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</w:t>
            </w:r>
          </w:p>
        </w:tc>
      </w:tr>
      <w:tr w:rsidR="00421551" w:rsidRPr="007F7426" w:rsidTr="006C0F05">
        <w:trPr>
          <w:trHeight w:val="423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>Правительство Воронежской области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2263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3042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3677</w:t>
            </w:r>
          </w:p>
        </w:tc>
      </w:tr>
      <w:tr w:rsidR="00421551" w:rsidRPr="007F7426" w:rsidTr="006C0F05">
        <w:trPr>
          <w:trHeight w:val="428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>ИОГВ, структурные подразделения правительства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332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658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1580</w:t>
            </w:r>
          </w:p>
        </w:tc>
      </w:tr>
      <w:tr w:rsidR="00421551" w:rsidRPr="007F7426" w:rsidTr="00CA3AE9">
        <w:trPr>
          <w:trHeight w:val="20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 xml:space="preserve">Территориальные органы федеральных органов власти, </w:t>
            </w:r>
          </w:p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3762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5249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4739</w:t>
            </w:r>
          </w:p>
        </w:tc>
      </w:tr>
      <w:tr w:rsidR="00421551" w:rsidRPr="007F7426" w:rsidTr="00CA3AE9">
        <w:trPr>
          <w:trHeight w:val="20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F7426">
              <w:rPr>
                <w:rFonts w:ascii="Times New Roman" w:hAnsi="Times New Roman" w:cs="Times New Roman"/>
                <w:i/>
              </w:rPr>
              <w:t>Роспотребнадзор</w:t>
            </w:r>
            <w:proofErr w:type="spellEnd"/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698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907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1243</w:t>
            </w:r>
          </w:p>
        </w:tc>
      </w:tr>
      <w:tr w:rsidR="00421551" w:rsidRPr="007F7426" w:rsidTr="00CA3AE9">
        <w:trPr>
          <w:trHeight w:val="20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F7426">
              <w:rPr>
                <w:rFonts w:ascii="Times New Roman" w:hAnsi="Times New Roman" w:cs="Times New Roman"/>
                <w:i/>
              </w:rPr>
              <w:t>Ростехнадзор</w:t>
            </w:r>
            <w:proofErr w:type="spellEnd"/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44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34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</w:t>
            </w:r>
          </w:p>
        </w:tc>
      </w:tr>
      <w:tr w:rsidR="00421551" w:rsidRPr="007F7426" w:rsidTr="00CA3AE9">
        <w:trPr>
          <w:trHeight w:val="20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  <w:i/>
              </w:rPr>
            </w:pPr>
            <w:r w:rsidRPr="007F7426">
              <w:rPr>
                <w:rFonts w:ascii="Times New Roman" w:hAnsi="Times New Roman" w:cs="Times New Roman"/>
                <w:i/>
              </w:rPr>
              <w:t>Органы прокуратуры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2910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4133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3244</w:t>
            </w:r>
          </w:p>
        </w:tc>
      </w:tr>
      <w:tr w:rsidR="00421551" w:rsidRPr="007F7426" w:rsidTr="00CA3AE9">
        <w:trPr>
          <w:trHeight w:val="20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прочие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110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175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230</w:t>
            </w:r>
          </w:p>
        </w:tc>
      </w:tr>
      <w:tr w:rsidR="00421551" w:rsidRPr="007F7426" w:rsidTr="006C0F05">
        <w:trPr>
          <w:trHeight w:val="400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>Городская, областная Думы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473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</w:t>
            </w:r>
          </w:p>
        </w:tc>
      </w:tr>
      <w:tr w:rsidR="00421551" w:rsidRPr="007F7426" w:rsidTr="006C0F05">
        <w:trPr>
          <w:trHeight w:val="407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421551" w:rsidRPr="007F7426" w:rsidTr="006C0F05">
        <w:trPr>
          <w:trHeight w:val="412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 w:rsidRPr="007F7426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421551" w:rsidRPr="007F7426" w:rsidTr="006C0F05">
        <w:trPr>
          <w:trHeight w:val="432"/>
        </w:trPr>
        <w:tc>
          <w:tcPr>
            <w:tcW w:w="5495" w:type="dxa"/>
            <w:shd w:val="clear" w:color="auto" w:fill="E5DFEC" w:themeFill="accent4" w:themeFillTint="33"/>
          </w:tcPr>
          <w:p w:rsidR="00421551" w:rsidRPr="007F7426" w:rsidRDefault="00421551" w:rsidP="000F1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282</w:t>
            </w:r>
          </w:p>
        </w:tc>
      </w:tr>
      <w:tr w:rsidR="00421551" w:rsidRPr="007F7426" w:rsidTr="006C0F05">
        <w:trPr>
          <w:trHeight w:val="396"/>
        </w:trPr>
        <w:tc>
          <w:tcPr>
            <w:tcW w:w="5495" w:type="dxa"/>
            <w:shd w:val="clear" w:color="auto" w:fill="E5DFEC" w:themeFill="accent4" w:themeFillTint="33"/>
          </w:tcPr>
          <w:p w:rsidR="00421551" w:rsidRPr="00005BB9" w:rsidRDefault="00421551" w:rsidP="000F1EA9">
            <w:pPr>
              <w:rPr>
                <w:rFonts w:ascii="Times New Roman" w:hAnsi="Times New Roman"/>
                <w:b/>
              </w:rPr>
            </w:pPr>
            <w:r w:rsidRPr="00005BB9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11033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421551" w:rsidRPr="00957114" w:rsidRDefault="00421551" w:rsidP="00BC6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15704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21551" w:rsidRPr="00957114" w:rsidRDefault="00421551" w:rsidP="000F1E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18388</w:t>
            </w:r>
          </w:p>
        </w:tc>
      </w:tr>
    </w:tbl>
    <w:p w:rsidR="003D5744" w:rsidRDefault="003D5744" w:rsidP="00693F07">
      <w:pPr>
        <w:pStyle w:val="30"/>
        <w:spacing w:line="276" w:lineRule="auto"/>
        <w:rPr>
          <w:sz w:val="28"/>
          <w:szCs w:val="28"/>
        </w:rPr>
      </w:pPr>
    </w:p>
    <w:p w:rsidR="007244B1" w:rsidRDefault="00362F50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При анализе писем по тематике можно проследить следующую статистику. </w:t>
      </w:r>
      <w:r w:rsidR="00F17FAA">
        <w:rPr>
          <w:sz w:val="28"/>
          <w:szCs w:val="28"/>
        </w:rPr>
        <w:t>С</w:t>
      </w:r>
      <w:r w:rsidR="007244B1">
        <w:rPr>
          <w:sz w:val="28"/>
          <w:szCs w:val="28"/>
        </w:rPr>
        <w:t>амым актуальным блоком вопросов обращений является</w:t>
      </w:r>
      <w:r w:rsidR="007244B1" w:rsidRPr="00A36F48">
        <w:rPr>
          <w:sz w:val="28"/>
          <w:szCs w:val="28"/>
        </w:rPr>
        <w:t xml:space="preserve"> </w:t>
      </w:r>
      <w:r w:rsidR="007244B1" w:rsidRPr="00257DB2">
        <w:rPr>
          <w:sz w:val="28"/>
          <w:szCs w:val="28"/>
        </w:rPr>
        <w:t>неудовлетворительное техническое состояние многоквартирных домов (</w:t>
      </w:r>
      <w:r w:rsidR="00421551">
        <w:rPr>
          <w:sz w:val="28"/>
          <w:szCs w:val="28"/>
        </w:rPr>
        <w:t>6794</w:t>
      </w:r>
      <w:r w:rsidR="007244B1" w:rsidRPr="00257DB2">
        <w:rPr>
          <w:sz w:val="28"/>
          <w:szCs w:val="28"/>
        </w:rPr>
        <w:t xml:space="preserve"> или </w:t>
      </w:r>
      <w:r w:rsidR="00421551">
        <w:rPr>
          <w:sz w:val="28"/>
          <w:szCs w:val="28"/>
        </w:rPr>
        <w:t>37</w:t>
      </w:r>
      <w:r w:rsidR="007244B1" w:rsidRPr="00257DB2">
        <w:rPr>
          <w:sz w:val="28"/>
          <w:szCs w:val="28"/>
        </w:rPr>
        <w:t>%)</w:t>
      </w:r>
      <w:r w:rsidR="007244B1">
        <w:rPr>
          <w:sz w:val="28"/>
          <w:szCs w:val="28"/>
        </w:rPr>
        <w:t xml:space="preserve">. Следует отметить, что по сравнению с аналогичным периодом прошлого года доля таких обращений </w:t>
      </w:r>
      <w:r w:rsidR="00F17FAA">
        <w:rPr>
          <w:sz w:val="28"/>
          <w:szCs w:val="28"/>
        </w:rPr>
        <w:t>несколько увеличилась</w:t>
      </w:r>
      <w:r w:rsidR="007244B1">
        <w:rPr>
          <w:sz w:val="28"/>
          <w:szCs w:val="28"/>
        </w:rPr>
        <w:t xml:space="preserve"> (</w:t>
      </w:r>
      <w:r w:rsidR="00FA7DA7">
        <w:rPr>
          <w:sz w:val="28"/>
          <w:szCs w:val="28"/>
        </w:rPr>
        <w:t xml:space="preserve">4680, </w:t>
      </w:r>
      <w:r w:rsidR="00421551">
        <w:rPr>
          <w:sz w:val="28"/>
          <w:szCs w:val="28"/>
        </w:rPr>
        <w:t>29</w:t>
      </w:r>
      <w:r w:rsidR="007244B1" w:rsidRPr="005F4FAF">
        <w:rPr>
          <w:sz w:val="28"/>
          <w:szCs w:val="28"/>
        </w:rPr>
        <w:t>%</w:t>
      </w:r>
      <w:r w:rsidR="007244B1">
        <w:rPr>
          <w:sz w:val="28"/>
          <w:szCs w:val="28"/>
        </w:rPr>
        <w:t xml:space="preserve"> в 2015 г.). Увеличилась </w:t>
      </w:r>
      <w:r w:rsidR="00F17FAA">
        <w:rPr>
          <w:sz w:val="28"/>
          <w:szCs w:val="28"/>
        </w:rPr>
        <w:t xml:space="preserve">и </w:t>
      </w:r>
      <w:r w:rsidR="007244B1">
        <w:rPr>
          <w:sz w:val="28"/>
          <w:szCs w:val="28"/>
        </w:rPr>
        <w:t xml:space="preserve">доля обращений по вопросам </w:t>
      </w:r>
      <w:r w:rsidR="007244B1" w:rsidRPr="00257DB2">
        <w:rPr>
          <w:sz w:val="28"/>
          <w:szCs w:val="28"/>
        </w:rPr>
        <w:t>некачественно</w:t>
      </w:r>
      <w:r w:rsidR="007244B1">
        <w:rPr>
          <w:sz w:val="28"/>
          <w:szCs w:val="28"/>
        </w:rPr>
        <w:t>го</w:t>
      </w:r>
      <w:r w:rsidR="007244B1" w:rsidRPr="00257DB2">
        <w:rPr>
          <w:sz w:val="28"/>
          <w:szCs w:val="28"/>
        </w:rPr>
        <w:t xml:space="preserve"> предоставлени</w:t>
      </w:r>
      <w:r w:rsidR="007244B1">
        <w:rPr>
          <w:sz w:val="28"/>
          <w:szCs w:val="28"/>
        </w:rPr>
        <w:t>я</w:t>
      </w:r>
      <w:r w:rsidR="007244B1" w:rsidRPr="00257DB2">
        <w:rPr>
          <w:sz w:val="28"/>
          <w:szCs w:val="28"/>
        </w:rPr>
        <w:t xml:space="preserve"> населению коммунальных услуг</w:t>
      </w:r>
      <w:r w:rsidR="007244B1">
        <w:rPr>
          <w:sz w:val="28"/>
          <w:szCs w:val="28"/>
        </w:rPr>
        <w:t xml:space="preserve"> по сравнению с 2015 г</w:t>
      </w:r>
      <w:r w:rsidR="00FA7DA7">
        <w:rPr>
          <w:sz w:val="28"/>
          <w:szCs w:val="28"/>
        </w:rPr>
        <w:t>одом</w:t>
      </w:r>
      <w:r w:rsidR="007244B1">
        <w:rPr>
          <w:sz w:val="28"/>
          <w:szCs w:val="28"/>
        </w:rPr>
        <w:t xml:space="preserve"> – </w:t>
      </w:r>
      <w:r w:rsidR="00FA7DA7">
        <w:rPr>
          <w:sz w:val="28"/>
          <w:szCs w:val="28"/>
        </w:rPr>
        <w:t>20</w:t>
      </w:r>
      <w:r w:rsidR="007244B1">
        <w:rPr>
          <w:sz w:val="28"/>
          <w:szCs w:val="28"/>
        </w:rPr>
        <w:t xml:space="preserve">% в 2016 г., </w:t>
      </w:r>
      <w:r w:rsidR="00FA7DA7">
        <w:rPr>
          <w:sz w:val="28"/>
          <w:szCs w:val="28"/>
        </w:rPr>
        <w:t>12</w:t>
      </w:r>
      <w:r w:rsidR="007244B1">
        <w:rPr>
          <w:sz w:val="28"/>
          <w:szCs w:val="28"/>
        </w:rPr>
        <w:t xml:space="preserve">% </w:t>
      </w:r>
      <w:r w:rsidR="00FA7DA7">
        <w:rPr>
          <w:sz w:val="28"/>
          <w:szCs w:val="28"/>
        </w:rPr>
        <w:t>– в</w:t>
      </w:r>
      <w:r w:rsidR="007244B1">
        <w:rPr>
          <w:sz w:val="28"/>
          <w:szCs w:val="28"/>
        </w:rPr>
        <w:t xml:space="preserve"> 2015 г.</w:t>
      </w:r>
    </w:p>
    <w:p w:rsidR="0033000D" w:rsidRDefault="0033000D" w:rsidP="0033000D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Следующим по актуальности блоком вопросов обращений является  обоснованность расчета платежей</w:t>
      </w:r>
      <w:r w:rsidRPr="00257DB2">
        <w:rPr>
          <w:sz w:val="28"/>
          <w:szCs w:val="28"/>
        </w:rPr>
        <w:t xml:space="preserve"> и увеличени</w:t>
      </w:r>
      <w:r>
        <w:rPr>
          <w:sz w:val="28"/>
          <w:szCs w:val="28"/>
        </w:rPr>
        <w:t>е</w:t>
      </w:r>
      <w:r w:rsidRPr="00257DB2">
        <w:rPr>
          <w:sz w:val="28"/>
          <w:szCs w:val="28"/>
        </w:rPr>
        <w:t xml:space="preserve"> тарифов</w:t>
      </w:r>
      <w:r>
        <w:rPr>
          <w:sz w:val="28"/>
          <w:szCs w:val="28"/>
        </w:rPr>
        <w:t xml:space="preserve">  – по сравнению с аналогичным периодом прошлого года доля таких обращений </w:t>
      </w:r>
      <w:r w:rsidR="00F17FAA">
        <w:rPr>
          <w:sz w:val="28"/>
          <w:szCs w:val="28"/>
        </w:rPr>
        <w:t>значительно</w:t>
      </w:r>
      <w:r w:rsidR="00A70896">
        <w:rPr>
          <w:sz w:val="28"/>
          <w:szCs w:val="28"/>
        </w:rPr>
        <w:t xml:space="preserve"> снизилась</w:t>
      </w:r>
      <w:r>
        <w:rPr>
          <w:sz w:val="28"/>
          <w:szCs w:val="28"/>
        </w:rPr>
        <w:t xml:space="preserve"> </w:t>
      </w:r>
      <w:r w:rsidR="00FA7DA7">
        <w:rPr>
          <w:sz w:val="28"/>
          <w:szCs w:val="28"/>
        </w:rPr>
        <w:t xml:space="preserve">и в количественном и в процентном соотношении </w:t>
      </w:r>
      <w:r>
        <w:rPr>
          <w:sz w:val="28"/>
          <w:szCs w:val="28"/>
        </w:rPr>
        <w:t xml:space="preserve">и составляет </w:t>
      </w:r>
      <w:r w:rsidR="00FA7DA7">
        <w:rPr>
          <w:sz w:val="28"/>
          <w:szCs w:val="28"/>
        </w:rPr>
        <w:t>28</w:t>
      </w:r>
      <w:r>
        <w:rPr>
          <w:sz w:val="28"/>
          <w:szCs w:val="28"/>
        </w:rPr>
        <w:t xml:space="preserve">%, </w:t>
      </w:r>
      <w:r w:rsidR="00FA7DA7">
        <w:rPr>
          <w:sz w:val="28"/>
          <w:szCs w:val="28"/>
        </w:rPr>
        <w:t>5183</w:t>
      </w:r>
      <w:r>
        <w:rPr>
          <w:sz w:val="28"/>
          <w:szCs w:val="28"/>
        </w:rPr>
        <w:t xml:space="preserve"> обращений, </w:t>
      </w:r>
      <w:r w:rsidR="00F17FA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2015 г. – </w:t>
      </w:r>
      <w:r w:rsidR="00FA7DA7">
        <w:rPr>
          <w:sz w:val="28"/>
          <w:szCs w:val="28"/>
        </w:rPr>
        <w:t>36</w:t>
      </w:r>
      <w:r>
        <w:rPr>
          <w:sz w:val="28"/>
          <w:szCs w:val="28"/>
        </w:rPr>
        <w:t xml:space="preserve">%, </w:t>
      </w:r>
      <w:r w:rsidR="00FA7DA7">
        <w:rPr>
          <w:sz w:val="28"/>
          <w:szCs w:val="28"/>
        </w:rPr>
        <w:t>5634</w:t>
      </w:r>
      <w:r>
        <w:rPr>
          <w:sz w:val="28"/>
          <w:szCs w:val="28"/>
        </w:rPr>
        <w:t xml:space="preserve"> обращений.</w:t>
      </w:r>
    </w:p>
    <w:p w:rsidR="0015268C" w:rsidRDefault="0015268C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В отчетном периоде </w:t>
      </w:r>
      <w:r w:rsidR="005F4FAF">
        <w:rPr>
          <w:sz w:val="28"/>
          <w:szCs w:val="28"/>
        </w:rPr>
        <w:t>не изменилась</w:t>
      </w:r>
      <w:r w:rsidRPr="00257DB2">
        <w:rPr>
          <w:sz w:val="28"/>
          <w:szCs w:val="28"/>
        </w:rPr>
        <w:t xml:space="preserve"> </w:t>
      </w:r>
      <w:r w:rsidR="00257DB2" w:rsidRPr="00257DB2">
        <w:rPr>
          <w:sz w:val="28"/>
          <w:szCs w:val="28"/>
        </w:rPr>
        <w:t xml:space="preserve">в структуре обращений доля вопросов о проведении проверки законности управления жилищным фондом и соблюдения управляющими организациями обязательных требований о раскрытии информации о своей деятельности в соответствие со стандартом </w:t>
      </w:r>
      <w:r w:rsidR="00CE21DB">
        <w:rPr>
          <w:sz w:val="28"/>
          <w:szCs w:val="28"/>
        </w:rPr>
        <w:t>(</w:t>
      </w:r>
      <w:r w:rsidR="00FA7DA7">
        <w:rPr>
          <w:sz w:val="28"/>
          <w:szCs w:val="28"/>
        </w:rPr>
        <w:t>8</w:t>
      </w:r>
      <w:r w:rsidR="00257DB2" w:rsidRPr="00257DB2">
        <w:rPr>
          <w:sz w:val="28"/>
          <w:szCs w:val="28"/>
        </w:rPr>
        <w:t>% в 201</w:t>
      </w:r>
      <w:r w:rsidR="0033000D">
        <w:rPr>
          <w:sz w:val="28"/>
          <w:szCs w:val="28"/>
        </w:rPr>
        <w:t>6</w:t>
      </w:r>
      <w:r w:rsidR="00257DB2" w:rsidRPr="00257DB2">
        <w:rPr>
          <w:sz w:val="28"/>
          <w:szCs w:val="28"/>
        </w:rPr>
        <w:t xml:space="preserve"> г. в 201</w:t>
      </w:r>
      <w:r w:rsidR="000F1AF0">
        <w:rPr>
          <w:sz w:val="28"/>
          <w:szCs w:val="28"/>
        </w:rPr>
        <w:t>5</w:t>
      </w:r>
      <w:r w:rsidR="00257DB2" w:rsidRPr="00257DB2">
        <w:rPr>
          <w:sz w:val="28"/>
          <w:szCs w:val="28"/>
        </w:rPr>
        <w:t xml:space="preserve"> г.)</w:t>
      </w:r>
      <w:r w:rsidR="00936247">
        <w:rPr>
          <w:sz w:val="28"/>
          <w:szCs w:val="28"/>
        </w:rPr>
        <w:t>.</w:t>
      </w:r>
    </w:p>
    <w:p w:rsidR="00A22A02" w:rsidRDefault="00A22A02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В целом тематика обращений граждан </w:t>
      </w:r>
      <w:r w:rsidR="00673455" w:rsidRPr="00257DB2">
        <w:rPr>
          <w:sz w:val="28"/>
          <w:szCs w:val="28"/>
        </w:rPr>
        <w:t xml:space="preserve">и организаций </w:t>
      </w:r>
      <w:r w:rsidRPr="00257DB2">
        <w:rPr>
          <w:sz w:val="28"/>
          <w:szCs w:val="28"/>
        </w:rPr>
        <w:t>выглядит следующим образом:</w:t>
      </w:r>
    </w:p>
    <w:p w:rsidR="00FA7DA7" w:rsidRDefault="00FA7DA7" w:rsidP="00693F07">
      <w:pPr>
        <w:pStyle w:val="30"/>
        <w:spacing w:line="276" w:lineRule="auto"/>
        <w:rPr>
          <w:sz w:val="28"/>
          <w:szCs w:val="28"/>
        </w:rPr>
      </w:pPr>
    </w:p>
    <w:p w:rsidR="0033000D" w:rsidRDefault="0033000D" w:rsidP="00693F07">
      <w:pPr>
        <w:pStyle w:val="30"/>
        <w:spacing w:line="276" w:lineRule="auto"/>
        <w:rPr>
          <w:sz w:val="28"/>
          <w:szCs w:val="28"/>
        </w:rPr>
      </w:pPr>
    </w:p>
    <w:tbl>
      <w:tblPr>
        <w:tblStyle w:val="ab"/>
        <w:tblW w:w="9073" w:type="dxa"/>
        <w:jc w:val="center"/>
        <w:tblInd w:w="108" w:type="dxa"/>
        <w:shd w:val="clear" w:color="auto" w:fill="E7EFF9"/>
        <w:tblLook w:val="04A0"/>
      </w:tblPr>
      <w:tblGrid>
        <w:gridCol w:w="6521"/>
        <w:gridCol w:w="1276"/>
        <w:gridCol w:w="1276"/>
      </w:tblGrid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673455" w:rsidRDefault="00FA7DA7" w:rsidP="004235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45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Тематика обращений</w:t>
            </w:r>
          </w:p>
        </w:tc>
        <w:tc>
          <w:tcPr>
            <w:tcW w:w="1276" w:type="dxa"/>
            <w:shd w:val="clear" w:color="auto" w:fill="E7EFF9"/>
          </w:tcPr>
          <w:p w:rsidR="00FA7DA7" w:rsidRPr="0048399B" w:rsidRDefault="00FA7DA7" w:rsidP="00BC68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399B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48399B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shd w:val="clear" w:color="auto" w:fill="E7EFF9"/>
          </w:tcPr>
          <w:p w:rsidR="00FA7DA7" w:rsidRPr="00FA7DA7" w:rsidRDefault="00FA7DA7" w:rsidP="00C85E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A7DA7">
              <w:rPr>
                <w:rFonts w:ascii="Times New Roman" w:hAnsi="Times New Roman"/>
                <w:b/>
                <w:bCs/>
              </w:rPr>
              <w:t>2016 год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A353CF" w:rsidRDefault="00FA7DA7" w:rsidP="0042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F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C68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4680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42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A353CF" w:rsidRDefault="00FA7DA7" w:rsidP="0042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F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C68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1814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42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A353CF" w:rsidRDefault="00FA7DA7" w:rsidP="0042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F">
              <w:rPr>
                <w:rFonts w:ascii="Times New Roman" w:hAnsi="Times New Roman" w:cs="Times New Roman"/>
                <w:sz w:val="24"/>
                <w:szCs w:val="24"/>
              </w:rPr>
              <w:t>Качество капремонта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C68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42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A353CF" w:rsidRDefault="00FA7DA7" w:rsidP="0042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F">
              <w:rPr>
                <w:rFonts w:ascii="Times New Roman" w:hAnsi="Times New Roman" w:cs="Times New Roman"/>
                <w:sz w:val="24"/>
                <w:szCs w:val="24"/>
              </w:rPr>
              <w:t>Перепланировка жилых помещений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C68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42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A353CF" w:rsidRDefault="00FA7DA7" w:rsidP="0042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F">
              <w:rPr>
                <w:rFonts w:ascii="Times New Roman" w:hAnsi="Times New Roman" w:cs="Times New Roman"/>
                <w:sz w:val="24"/>
                <w:szCs w:val="24"/>
              </w:rPr>
              <w:t>Перепланировка МОП и нежилых помещений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C68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42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8248AB" w:rsidRDefault="00FA7DA7" w:rsidP="00824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8AB">
              <w:rPr>
                <w:rFonts w:ascii="Times New Roman" w:hAnsi="Times New Roman" w:cs="Times New Roman"/>
                <w:sz w:val="24"/>
                <w:szCs w:val="24"/>
              </w:rPr>
              <w:t>Формирование и оплата в Фонд капитального ремо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48A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0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82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A353CF" w:rsidRDefault="00FA7DA7" w:rsidP="0042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F">
              <w:rPr>
                <w:rFonts w:ascii="Times New Roman" w:hAnsi="Times New Roman" w:cs="Times New Roman"/>
                <w:sz w:val="24"/>
                <w:szCs w:val="24"/>
              </w:rPr>
              <w:t>Оплата (тарифы, перерасчет)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0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5634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42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A353CF" w:rsidRDefault="00FA7DA7" w:rsidP="0042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F">
              <w:rPr>
                <w:rFonts w:ascii="Times New Roman" w:hAnsi="Times New Roman" w:cs="Times New Roman"/>
                <w:sz w:val="24"/>
                <w:szCs w:val="24"/>
              </w:rPr>
              <w:t>Правовая основа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многоквартирным домом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0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42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</w:tr>
      <w:tr w:rsidR="00FA7DA7" w:rsidRPr="00A353CF" w:rsidTr="00FA7DA7">
        <w:trPr>
          <w:jc w:val="center"/>
        </w:trPr>
        <w:tc>
          <w:tcPr>
            <w:tcW w:w="6521" w:type="dxa"/>
            <w:shd w:val="clear" w:color="auto" w:fill="E7EFF9"/>
          </w:tcPr>
          <w:p w:rsidR="00FA7DA7" w:rsidRPr="00A353CF" w:rsidRDefault="00FA7DA7" w:rsidP="0042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F">
              <w:rPr>
                <w:rFonts w:ascii="Times New Roman" w:hAnsi="Times New Roman" w:cs="Times New Roman"/>
                <w:sz w:val="24"/>
                <w:szCs w:val="24"/>
              </w:rPr>
              <w:t>Не в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</w:p>
        </w:tc>
        <w:tc>
          <w:tcPr>
            <w:tcW w:w="1276" w:type="dxa"/>
            <w:shd w:val="clear" w:color="auto" w:fill="E7EFF9"/>
          </w:tcPr>
          <w:p w:rsidR="00FA7DA7" w:rsidRPr="00A353CF" w:rsidRDefault="00FA7DA7" w:rsidP="00B0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42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FA7DA7" w:rsidRPr="00A353CF" w:rsidTr="00FA7DA7">
        <w:trPr>
          <w:trHeight w:val="237"/>
          <w:jc w:val="center"/>
        </w:trPr>
        <w:tc>
          <w:tcPr>
            <w:tcW w:w="6521" w:type="dxa"/>
            <w:shd w:val="clear" w:color="auto" w:fill="E7EFF9"/>
          </w:tcPr>
          <w:p w:rsidR="00FA7DA7" w:rsidRPr="00005BB9" w:rsidRDefault="00FA7DA7" w:rsidP="000F1E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BB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E7EFF9"/>
          </w:tcPr>
          <w:p w:rsidR="00FA7DA7" w:rsidRPr="00005BB9" w:rsidRDefault="00FA7DA7" w:rsidP="00B061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15704</w:t>
            </w:r>
          </w:p>
        </w:tc>
        <w:tc>
          <w:tcPr>
            <w:tcW w:w="1276" w:type="dxa"/>
            <w:shd w:val="clear" w:color="auto" w:fill="E7EFF9"/>
          </w:tcPr>
          <w:p w:rsidR="00FA7DA7" w:rsidRPr="008248AB" w:rsidRDefault="00FA7DA7" w:rsidP="000F1E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18388</w:t>
            </w:r>
          </w:p>
        </w:tc>
      </w:tr>
    </w:tbl>
    <w:p w:rsidR="00B76042" w:rsidRDefault="00B76042" w:rsidP="00B76042">
      <w:pPr>
        <w:pStyle w:val="30"/>
        <w:spacing w:line="276" w:lineRule="auto"/>
        <w:rPr>
          <w:sz w:val="28"/>
          <w:szCs w:val="28"/>
        </w:rPr>
      </w:pPr>
    </w:p>
    <w:p w:rsidR="00BB0A01" w:rsidRDefault="00BB0A01" w:rsidP="00BB0A01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Более наглядно </w:t>
      </w:r>
      <w:r w:rsidRPr="00257DB2">
        <w:rPr>
          <w:sz w:val="28"/>
          <w:szCs w:val="28"/>
        </w:rPr>
        <w:t>тематика обращений граждан и организаций</w:t>
      </w:r>
      <w:r>
        <w:rPr>
          <w:sz w:val="28"/>
          <w:szCs w:val="28"/>
        </w:rPr>
        <w:t xml:space="preserve"> представлена на следующей диаграмме:</w:t>
      </w:r>
    </w:p>
    <w:p w:rsidR="00F96414" w:rsidRDefault="00F96414" w:rsidP="00BB0A01">
      <w:pPr>
        <w:pStyle w:val="30"/>
        <w:spacing w:line="276" w:lineRule="auto"/>
        <w:rPr>
          <w:sz w:val="28"/>
          <w:szCs w:val="28"/>
        </w:rPr>
      </w:pPr>
    </w:p>
    <w:p w:rsidR="00BB0A01" w:rsidRDefault="0097031A" w:rsidP="0097031A">
      <w:pPr>
        <w:pStyle w:val="30"/>
        <w:spacing w:line="276" w:lineRule="auto"/>
        <w:ind w:firstLine="0"/>
        <w:rPr>
          <w:sz w:val="28"/>
          <w:szCs w:val="28"/>
        </w:rPr>
      </w:pPr>
      <w:r w:rsidRPr="0097031A">
        <w:rPr>
          <w:sz w:val="28"/>
          <w:szCs w:val="28"/>
        </w:rPr>
        <w:drawing>
          <wp:inline distT="0" distB="0" distL="0" distR="0">
            <wp:extent cx="5940425" cy="3508830"/>
            <wp:effectExtent l="57150" t="19050" r="4127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6414" w:rsidRDefault="00F96414" w:rsidP="00693F07">
      <w:pPr>
        <w:pStyle w:val="30"/>
        <w:spacing w:line="276" w:lineRule="auto"/>
        <w:rPr>
          <w:sz w:val="28"/>
          <w:szCs w:val="28"/>
        </w:rPr>
      </w:pPr>
    </w:p>
    <w:p w:rsidR="00A22A02" w:rsidRDefault="00A22A02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>При рассмотрении обращений проведен</w:t>
      </w:r>
      <w:r w:rsidR="00736A4F">
        <w:rPr>
          <w:sz w:val="28"/>
          <w:szCs w:val="28"/>
        </w:rPr>
        <w:t>о</w:t>
      </w:r>
      <w:r w:rsidR="00C2172D" w:rsidRPr="00C2172D">
        <w:rPr>
          <w:sz w:val="28"/>
          <w:szCs w:val="28"/>
        </w:rPr>
        <w:t xml:space="preserve"> </w:t>
      </w:r>
      <w:r w:rsidR="00FA7DA7">
        <w:rPr>
          <w:sz w:val="28"/>
          <w:szCs w:val="28"/>
        </w:rPr>
        <w:t>3308</w:t>
      </w:r>
      <w:r w:rsidRPr="00257DB2">
        <w:rPr>
          <w:sz w:val="28"/>
          <w:szCs w:val="28"/>
        </w:rPr>
        <w:t xml:space="preserve"> внепланов</w:t>
      </w:r>
      <w:r w:rsidR="00736A4F">
        <w:rPr>
          <w:sz w:val="28"/>
          <w:szCs w:val="28"/>
        </w:rPr>
        <w:t>ых</w:t>
      </w:r>
      <w:r w:rsidRPr="00257DB2">
        <w:rPr>
          <w:sz w:val="28"/>
          <w:szCs w:val="28"/>
        </w:rPr>
        <w:t xml:space="preserve"> провер</w:t>
      </w:r>
      <w:r w:rsidR="006C0F05">
        <w:rPr>
          <w:sz w:val="28"/>
          <w:szCs w:val="28"/>
        </w:rPr>
        <w:t>ки</w:t>
      </w:r>
      <w:r w:rsidR="00257DB2" w:rsidRPr="00257DB2">
        <w:rPr>
          <w:sz w:val="28"/>
          <w:szCs w:val="28"/>
        </w:rPr>
        <w:t xml:space="preserve"> по </w:t>
      </w:r>
      <w:r w:rsidR="00FA7DA7">
        <w:rPr>
          <w:sz w:val="28"/>
          <w:szCs w:val="28"/>
        </w:rPr>
        <w:t>5807</w:t>
      </w:r>
      <w:r w:rsidR="00257DB2" w:rsidRPr="00257DB2">
        <w:rPr>
          <w:sz w:val="28"/>
          <w:szCs w:val="28"/>
        </w:rPr>
        <w:t xml:space="preserve"> обращени</w:t>
      </w:r>
      <w:r w:rsidR="00736A4F">
        <w:rPr>
          <w:sz w:val="28"/>
          <w:szCs w:val="28"/>
        </w:rPr>
        <w:t>ям</w:t>
      </w:r>
      <w:r w:rsidRPr="00257DB2">
        <w:rPr>
          <w:sz w:val="28"/>
          <w:szCs w:val="28"/>
        </w:rPr>
        <w:t xml:space="preserve">, в том числе </w:t>
      </w:r>
      <w:r w:rsidR="00FA7DA7">
        <w:rPr>
          <w:sz w:val="28"/>
          <w:szCs w:val="28"/>
        </w:rPr>
        <w:t>2448</w:t>
      </w:r>
      <w:r w:rsidRPr="00257DB2">
        <w:rPr>
          <w:sz w:val="28"/>
          <w:szCs w:val="28"/>
        </w:rPr>
        <w:t xml:space="preserve"> </w:t>
      </w:r>
      <w:r w:rsidR="004F6FB9">
        <w:rPr>
          <w:sz w:val="28"/>
          <w:szCs w:val="28"/>
        </w:rPr>
        <w:t>–</w:t>
      </w:r>
      <w:r w:rsidRPr="00257DB2">
        <w:rPr>
          <w:sz w:val="28"/>
          <w:szCs w:val="28"/>
        </w:rPr>
        <w:t xml:space="preserve"> выездных, </w:t>
      </w:r>
      <w:r w:rsidR="00FA7DA7">
        <w:rPr>
          <w:sz w:val="28"/>
          <w:szCs w:val="28"/>
        </w:rPr>
        <w:t>860</w:t>
      </w:r>
      <w:r w:rsidRPr="00257DB2">
        <w:rPr>
          <w:sz w:val="28"/>
          <w:szCs w:val="28"/>
        </w:rPr>
        <w:t xml:space="preserve"> </w:t>
      </w:r>
      <w:r w:rsidR="004F6FB9">
        <w:rPr>
          <w:sz w:val="28"/>
          <w:szCs w:val="28"/>
        </w:rPr>
        <w:t>–</w:t>
      </w:r>
      <w:r w:rsidRPr="00257DB2">
        <w:rPr>
          <w:sz w:val="28"/>
          <w:szCs w:val="28"/>
        </w:rPr>
        <w:t xml:space="preserve"> документарных. Обследовано </w:t>
      </w:r>
      <w:r w:rsidR="00FA7DA7">
        <w:rPr>
          <w:sz w:val="28"/>
          <w:szCs w:val="28"/>
        </w:rPr>
        <w:t>2476</w:t>
      </w:r>
      <w:r w:rsidRPr="00257DB2">
        <w:rPr>
          <w:sz w:val="28"/>
          <w:szCs w:val="28"/>
        </w:rPr>
        <w:t xml:space="preserve"> дом</w:t>
      </w:r>
      <w:r w:rsidR="006C0F05">
        <w:rPr>
          <w:sz w:val="28"/>
          <w:szCs w:val="28"/>
        </w:rPr>
        <w:t>ов</w:t>
      </w:r>
      <w:r w:rsidRPr="00257DB2">
        <w:rPr>
          <w:sz w:val="28"/>
          <w:szCs w:val="28"/>
        </w:rPr>
        <w:t xml:space="preserve"> общей площадью </w:t>
      </w:r>
      <w:r w:rsidR="00FA7DA7">
        <w:rPr>
          <w:sz w:val="28"/>
          <w:szCs w:val="28"/>
        </w:rPr>
        <w:t>16687,45</w:t>
      </w:r>
      <w:r w:rsidR="004041D6">
        <w:rPr>
          <w:sz w:val="28"/>
          <w:szCs w:val="28"/>
        </w:rPr>
        <w:t xml:space="preserve"> </w:t>
      </w:r>
      <w:r w:rsidRPr="00257DB2">
        <w:rPr>
          <w:sz w:val="28"/>
          <w:szCs w:val="28"/>
        </w:rPr>
        <w:t xml:space="preserve">тыс.кв.м. </w:t>
      </w:r>
      <w:r w:rsidR="00330EEB">
        <w:rPr>
          <w:sz w:val="28"/>
          <w:szCs w:val="28"/>
        </w:rPr>
        <w:t>В</w:t>
      </w:r>
      <w:r w:rsidRPr="00257DB2">
        <w:rPr>
          <w:sz w:val="28"/>
          <w:szCs w:val="28"/>
        </w:rPr>
        <w:t xml:space="preserve">ыявлено </w:t>
      </w:r>
      <w:r w:rsidR="00FA7DA7">
        <w:rPr>
          <w:sz w:val="28"/>
          <w:szCs w:val="28"/>
        </w:rPr>
        <w:t>4409</w:t>
      </w:r>
      <w:r w:rsidRPr="00257DB2">
        <w:rPr>
          <w:sz w:val="28"/>
          <w:szCs w:val="28"/>
        </w:rPr>
        <w:t xml:space="preserve"> нарушени</w:t>
      </w:r>
      <w:r w:rsidR="004F6FB9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, из которых </w:t>
      </w:r>
      <w:r w:rsidR="00FA7DA7">
        <w:rPr>
          <w:sz w:val="28"/>
          <w:szCs w:val="28"/>
        </w:rPr>
        <w:t>4052</w:t>
      </w:r>
      <w:r w:rsidRPr="00257DB2">
        <w:rPr>
          <w:sz w:val="28"/>
          <w:szCs w:val="28"/>
        </w:rPr>
        <w:t xml:space="preserve"> подлежат устранению по договору управления. </w:t>
      </w:r>
      <w:r w:rsidR="00FA7DA7">
        <w:rPr>
          <w:sz w:val="28"/>
          <w:szCs w:val="28"/>
        </w:rPr>
        <w:t>357</w:t>
      </w:r>
      <w:r w:rsidRPr="00257DB2">
        <w:rPr>
          <w:sz w:val="28"/>
          <w:szCs w:val="28"/>
        </w:rPr>
        <w:t xml:space="preserve"> нарушени</w:t>
      </w:r>
      <w:r w:rsidR="007379A8" w:rsidRPr="00257DB2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 в перечень работ и услуг, предусмотренных договором управления, не вошли и могут быть устранены только по решению общего собрания собственников помещений с определением дополнительного источника финансирования</w:t>
      </w:r>
      <w:r w:rsidR="006C0F05">
        <w:rPr>
          <w:sz w:val="28"/>
          <w:szCs w:val="28"/>
        </w:rPr>
        <w:t>.</w:t>
      </w:r>
      <w:r w:rsidR="00330EEB">
        <w:rPr>
          <w:sz w:val="28"/>
          <w:szCs w:val="28"/>
        </w:rPr>
        <w:t xml:space="preserve"> </w:t>
      </w:r>
      <w:r w:rsidR="006C0F05">
        <w:rPr>
          <w:sz w:val="28"/>
          <w:szCs w:val="28"/>
        </w:rPr>
        <w:t xml:space="preserve">Следует отметить, что </w:t>
      </w:r>
      <w:r w:rsidR="00FA7DA7">
        <w:rPr>
          <w:sz w:val="28"/>
          <w:szCs w:val="28"/>
        </w:rPr>
        <w:t>3010</w:t>
      </w:r>
      <w:r w:rsidRPr="00257DB2">
        <w:rPr>
          <w:sz w:val="28"/>
          <w:szCs w:val="28"/>
        </w:rPr>
        <w:t xml:space="preserve"> </w:t>
      </w:r>
      <w:r w:rsidR="001A430C">
        <w:rPr>
          <w:sz w:val="28"/>
          <w:szCs w:val="28"/>
        </w:rPr>
        <w:t>нарушени</w:t>
      </w:r>
      <w:r w:rsidR="00FA7DA7">
        <w:rPr>
          <w:sz w:val="28"/>
          <w:szCs w:val="28"/>
        </w:rPr>
        <w:t>й</w:t>
      </w:r>
      <w:r w:rsidR="001A430C">
        <w:rPr>
          <w:sz w:val="28"/>
          <w:szCs w:val="28"/>
        </w:rPr>
        <w:t xml:space="preserve"> были устранены до проведения проверок</w:t>
      </w:r>
      <w:r w:rsidR="004F6FB9">
        <w:rPr>
          <w:sz w:val="28"/>
          <w:szCs w:val="28"/>
        </w:rPr>
        <w:t>.</w:t>
      </w:r>
    </w:p>
    <w:p w:rsidR="00F96414" w:rsidRDefault="00F96414" w:rsidP="00693F07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 выявленных нарушений наглядно представлен на следующей диаграмме:</w:t>
      </w:r>
    </w:p>
    <w:p w:rsidR="00F96414" w:rsidRDefault="00F96414" w:rsidP="00693F07">
      <w:pPr>
        <w:pStyle w:val="30"/>
        <w:spacing w:line="276" w:lineRule="auto"/>
        <w:rPr>
          <w:sz w:val="28"/>
          <w:szCs w:val="28"/>
        </w:rPr>
      </w:pPr>
    </w:p>
    <w:p w:rsidR="00F96414" w:rsidRPr="00257DB2" w:rsidRDefault="00F96414" w:rsidP="00F96414">
      <w:pPr>
        <w:pStyle w:val="30"/>
        <w:spacing w:line="276" w:lineRule="auto"/>
        <w:ind w:firstLine="0"/>
        <w:rPr>
          <w:sz w:val="28"/>
          <w:szCs w:val="28"/>
        </w:rPr>
      </w:pPr>
      <w:r w:rsidRPr="00F96414">
        <w:rPr>
          <w:sz w:val="28"/>
          <w:szCs w:val="28"/>
        </w:rPr>
        <w:drawing>
          <wp:inline distT="0" distB="0" distL="0" distR="0">
            <wp:extent cx="5753100" cy="27432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6414" w:rsidRDefault="00F96414" w:rsidP="00693F07">
      <w:pPr>
        <w:pStyle w:val="30"/>
        <w:spacing w:line="276" w:lineRule="auto"/>
        <w:rPr>
          <w:sz w:val="28"/>
          <w:szCs w:val="28"/>
        </w:rPr>
      </w:pPr>
    </w:p>
    <w:p w:rsidR="006C31D7" w:rsidRPr="00257DB2" w:rsidRDefault="006C31D7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При рассмотрении обращений оформлено </w:t>
      </w:r>
      <w:r w:rsidR="00FA7DA7">
        <w:rPr>
          <w:sz w:val="28"/>
          <w:szCs w:val="28"/>
        </w:rPr>
        <w:t>4213</w:t>
      </w:r>
      <w:r w:rsidRPr="00257DB2">
        <w:rPr>
          <w:sz w:val="28"/>
          <w:szCs w:val="28"/>
        </w:rPr>
        <w:t xml:space="preserve"> исполнительных документов, в том числе: </w:t>
      </w:r>
      <w:r w:rsidR="00FA7DA7">
        <w:rPr>
          <w:sz w:val="28"/>
          <w:szCs w:val="28"/>
        </w:rPr>
        <w:t>3308</w:t>
      </w:r>
      <w:r w:rsidRPr="00257DB2">
        <w:rPr>
          <w:sz w:val="28"/>
          <w:szCs w:val="28"/>
        </w:rPr>
        <w:t xml:space="preserve"> акт</w:t>
      </w:r>
      <w:r w:rsidR="006C0F05">
        <w:rPr>
          <w:sz w:val="28"/>
          <w:szCs w:val="28"/>
        </w:rPr>
        <w:t>а</w:t>
      </w:r>
      <w:r w:rsidRPr="00257DB2">
        <w:rPr>
          <w:sz w:val="28"/>
          <w:szCs w:val="28"/>
        </w:rPr>
        <w:t xml:space="preserve">, </w:t>
      </w:r>
      <w:r w:rsidR="00FA7DA7">
        <w:rPr>
          <w:sz w:val="28"/>
          <w:szCs w:val="28"/>
        </w:rPr>
        <w:t>326</w:t>
      </w:r>
      <w:r w:rsidRPr="00257DB2">
        <w:rPr>
          <w:sz w:val="28"/>
          <w:szCs w:val="28"/>
        </w:rPr>
        <w:t xml:space="preserve"> протокол</w:t>
      </w:r>
      <w:r w:rsidR="006C0F05">
        <w:rPr>
          <w:sz w:val="28"/>
          <w:szCs w:val="28"/>
        </w:rPr>
        <w:t>ов</w:t>
      </w:r>
      <w:r w:rsidRPr="00257DB2">
        <w:rPr>
          <w:sz w:val="28"/>
          <w:szCs w:val="28"/>
        </w:rPr>
        <w:t xml:space="preserve">,  выдано </w:t>
      </w:r>
      <w:r w:rsidR="00FA7DA7">
        <w:rPr>
          <w:sz w:val="28"/>
          <w:szCs w:val="28"/>
        </w:rPr>
        <w:t>579</w:t>
      </w:r>
      <w:r w:rsidRPr="00257DB2">
        <w:rPr>
          <w:sz w:val="28"/>
          <w:szCs w:val="28"/>
        </w:rPr>
        <w:t xml:space="preserve"> предписани</w:t>
      </w:r>
      <w:r w:rsidR="00B76042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 на устранение </w:t>
      </w:r>
      <w:r w:rsidR="00FA7DA7">
        <w:rPr>
          <w:sz w:val="28"/>
          <w:szCs w:val="28"/>
        </w:rPr>
        <w:t>1037</w:t>
      </w:r>
      <w:r w:rsidRPr="00257DB2">
        <w:rPr>
          <w:sz w:val="28"/>
          <w:szCs w:val="28"/>
        </w:rPr>
        <w:t xml:space="preserve"> нарушени</w:t>
      </w:r>
      <w:r w:rsidR="00C2172D">
        <w:rPr>
          <w:sz w:val="28"/>
          <w:szCs w:val="28"/>
        </w:rPr>
        <w:t>й</w:t>
      </w:r>
      <w:r w:rsidRPr="00257DB2">
        <w:rPr>
          <w:sz w:val="28"/>
          <w:szCs w:val="28"/>
        </w:rPr>
        <w:t>.</w:t>
      </w:r>
      <w:r w:rsidR="00B1107C">
        <w:rPr>
          <w:sz w:val="28"/>
          <w:szCs w:val="28"/>
        </w:rPr>
        <w:t xml:space="preserve"> </w:t>
      </w:r>
    </w:p>
    <w:p w:rsidR="00933DA7" w:rsidRPr="00257DB2" w:rsidRDefault="00933DA7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По </w:t>
      </w:r>
      <w:r w:rsidR="00FA7DA7">
        <w:rPr>
          <w:sz w:val="28"/>
          <w:szCs w:val="28"/>
        </w:rPr>
        <w:t>14683</w:t>
      </w:r>
      <w:r w:rsidR="00C2172D">
        <w:rPr>
          <w:sz w:val="28"/>
          <w:szCs w:val="28"/>
        </w:rPr>
        <w:t xml:space="preserve"> </w:t>
      </w:r>
      <w:r w:rsidR="00E12C24" w:rsidRPr="00257DB2">
        <w:rPr>
          <w:sz w:val="28"/>
          <w:szCs w:val="28"/>
        </w:rPr>
        <w:t>обращениям</w:t>
      </w:r>
      <w:r w:rsidRPr="00257DB2">
        <w:rPr>
          <w:sz w:val="28"/>
          <w:szCs w:val="28"/>
        </w:rPr>
        <w:t xml:space="preserve"> заявителям направлены ответы с разъяснением действующего законодательства</w:t>
      </w:r>
      <w:r w:rsidR="005339C6">
        <w:rPr>
          <w:sz w:val="28"/>
          <w:szCs w:val="28"/>
        </w:rPr>
        <w:t>,</w:t>
      </w:r>
      <w:r w:rsidRPr="00257DB2">
        <w:rPr>
          <w:sz w:val="28"/>
          <w:szCs w:val="28"/>
        </w:rPr>
        <w:t xml:space="preserve"> и </w:t>
      </w:r>
      <w:r w:rsidR="00E12C24" w:rsidRPr="00257DB2">
        <w:rPr>
          <w:sz w:val="28"/>
          <w:szCs w:val="28"/>
        </w:rPr>
        <w:t>обращения</w:t>
      </w:r>
      <w:r w:rsidRPr="00257DB2">
        <w:rPr>
          <w:sz w:val="28"/>
          <w:szCs w:val="28"/>
        </w:rPr>
        <w:t xml:space="preserve"> сняты с контроля инспекции</w:t>
      </w:r>
      <w:r w:rsidR="00510094" w:rsidRPr="00257DB2">
        <w:rPr>
          <w:sz w:val="28"/>
          <w:szCs w:val="28"/>
        </w:rPr>
        <w:t>.</w:t>
      </w:r>
    </w:p>
    <w:p w:rsidR="001F0923" w:rsidRPr="00257DB2" w:rsidRDefault="001F0923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Одним из основных критериев эффективности работы подконтрольных организаций является своевременность исполнения предписаний </w:t>
      </w:r>
      <w:r w:rsidR="009872AD" w:rsidRPr="00257DB2">
        <w:rPr>
          <w:sz w:val="28"/>
          <w:szCs w:val="28"/>
        </w:rPr>
        <w:t xml:space="preserve">жилищной </w:t>
      </w:r>
      <w:r w:rsidRPr="00257DB2">
        <w:rPr>
          <w:sz w:val="28"/>
          <w:szCs w:val="28"/>
        </w:rPr>
        <w:t xml:space="preserve">инспекции по устранению дефектов в жилых домах. </w:t>
      </w:r>
    </w:p>
    <w:p w:rsidR="00F2783E" w:rsidRPr="00F2783E" w:rsidRDefault="00F2783E" w:rsidP="00693F07">
      <w:pPr>
        <w:pStyle w:val="30"/>
        <w:spacing w:line="276" w:lineRule="auto"/>
        <w:rPr>
          <w:sz w:val="28"/>
          <w:szCs w:val="28"/>
        </w:rPr>
      </w:pPr>
      <w:proofErr w:type="gramStart"/>
      <w:r w:rsidRPr="00F2783E">
        <w:rPr>
          <w:sz w:val="28"/>
          <w:szCs w:val="28"/>
        </w:rPr>
        <w:t xml:space="preserve">Устранению в отчетном периоде подлежало </w:t>
      </w:r>
      <w:r w:rsidR="00FA7DA7">
        <w:rPr>
          <w:sz w:val="28"/>
          <w:szCs w:val="28"/>
        </w:rPr>
        <w:t>3698</w:t>
      </w:r>
      <w:r w:rsidRPr="00F2783E">
        <w:rPr>
          <w:sz w:val="28"/>
          <w:szCs w:val="28"/>
        </w:rPr>
        <w:t xml:space="preserve"> нарушени</w:t>
      </w:r>
      <w:r w:rsidR="00693F07">
        <w:rPr>
          <w:sz w:val="28"/>
          <w:szCs w:val="28"/>
        </w:rPr>
        <w:t>й</w:t>
      </w:r>
      <w:r w:rsidRPr="00F2783E">
        <w:rPr>
          <w:sz w:val="28"/>
          <w:szCs w:val="28"/>
        </w:rPr>
        <w:t xml:space="preserve">, из которых управляющими организациями устранено </w:t>
      </w:r>
      <w:r w:rsidR="00FA7DA7">
        <w:rPr>
          <w:sz w:val="28"/>
          <w:szCs w:val="28"/>
        </w:rPr>
        <w:t>3426</w:t>
      </w:r>
      <w:r w:rsidRPr="00F2783E">
        <w:rPr>
          <w:sz w:val="28"/>
          <w:szCs w:val="28"/>
        </w:rPr>
        <w:t xml:space="preserve"> (</w:t>
      </w:r>
      <w:r w:rsidR="00FA7DA7">
        <w:rPr>
          <w:sz w:val="28"/>
          <w:szCs w:val="28"/>
        </w:rPr>
        <w:t>93</w:t>
      </w:r>
      <w:r w:rsidR="008C146C">
        <w:rPr>
          <w:sz w:val="28"/>
          <w:szCs w:val="28"/>
        </w:rPr>
        <w:t xml:space="preserve">%), в т.ч. </w:t>
      </w:r>
      <w:r w:rsidR="00FA7DA7">
        <w:rPr>
          <w:sz w:val="28"/>
          <w:szCs w:val="28"/>
        </w:rPr>
        <w:t>3010</w:t>
      </w:r>
      <w:r w:rsidR="008C146C">
        <w:rPr>
          <w:sz w:val="28"/>
          <w:szCs w:val="28"/>
        </w:rPr>
        <w:t xml:space="preserve"> </w:t>
      </w:r>
      <w:r w:rsidR="00495F51">
        <w:rPr>
          <w:sz w:val="28"/>
          <w:szCs w:val="28"/>
        </w:rPr>
        <w:t>(</w:t>
      </w:r>
      <w:r w:rsidR="00FA7DA7">
        <w:rPr>
          <w:sz w:val="28"/>
          <w:szCs w:val="28"/>
        </w:rPr>
        <w:t>88</w:t>
      </w:r>
      <w:r w:rsidR="00495F51">
        <w:rPr>
          <w:sz w:val="28"/>
          <w:szCs w:val="28"/>
        </w:rPr>
        <w:t xml:space="preserve">%) </w:t>
      </w:r>
      <w:r w:rsidR="008C146C">
        <w:rPr>
          <w:sz w:val="28"/>
          <w:szCs w:val="28"/>
        </w:rPr>
        <w:t xml:space="preserve">после получения уведомления о предстоящей проверке, а </w:t>
      </w:r>
      <w:r w:rsidR="00FA7DA7">
        <w:rPr>
          <w:sz w:val="28"/>
          <w:szCs w:val="28"/>
        </w:rPr>
        <w:t>116</w:t>
      </w:r>
      <w:r w:rsidR="00495F51">
        <w:rPr>
          <w:sz w:val="28"/>
          <w:szCs w:val="28"/>
        </w:rPr>
        <w:t xml:space="preserve"> (</w:t>
      </w:r>
      <w:r w:rsidR="00FA7DA7">
        <w:rPr>
          <w:sz w:val="28"/>
          <w:szCs w:val="28"/>
        </w:rPr>
        <w:t>12</w:t>
      </w:r>
      <w:r w:rsidR="006C0F05">
        <w:rPr>
          <w:sz w:val="28"/>
          <w:szCs w:val="28"/>
        </w:rPr>
        <w:t>%</w:t>
      </w:r>
      <w:r w:rsidR="008C146C">
        <w:rPr>
          <w:sz w:val="28"/>
          <w:szCs w:val="28"/>
        </w:rPr>
        <w:t xml:space="preserve"> – в ходе выполнения выданных предписаний.</w:t>
      </w:r>
      <w:r w:rsidR="00495F51">
        <w:rPr>
          <w:sz w:val="28"/>
          <w:szCs w:val="28"/>
        </w:rPr>
        <w:t xml:space="preserve"> </w:t>
      </w:r>
      <w:proofErr w:type="gramEnd"/>
    </w:p>
    <w:p w:rsidR="00323920" w:rsidRDefault="00323920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В отчетном периоде проверено выполнение </w:t>
      </w:r>
      <w:r w:rsidR="00FA7DA7">
        <w:rPr>
          <w:sz w:val="28"/>
          <w:szCs w:val="28"/>
        </w:rPr>
        <w:t>373</w:t>
      </w:r>
      <w:r w:rsidRPr="00257DB2">
        <w:rPr>
          <w:sz w:val="28"/>
          <w:szCs w:val="28"/>
        </w:rPr>
        <w:t xml:space="preserve"> предписани</w:t>
      </w:r>
      <w:r w:rsidR="00244DC3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 на </w:t>
      </w:r>
      <w:r w:rsidR="00FA7DA7">
        <w:rPr>
          <w:sz w:val="28"/>
          <w:szCs w:val="28"/>
        </w:rPr>
        <w:t>207</w:t>
      </w:r>
      <w:r w:rsidRPr="00257DB2">
        <w:rPr>
          <w:sz w:val="28"/>
          <w:szCs w:val="28"/>
        </w:rPr>
        <w:t xml:space="preserve"> дом</w:t>
      </w:r>
      <w:r w:rsidR="006C31D7" w:rsidRPr="00257DB2">
        <w:rPr>
          <w:sz w:val="28"/>
          <w:szCs w:val="28"/>
        </w:rPr>
        <w:t>ах</w:t>
      </w:r>
      <w:r w:rsidRPr="00257DB2">
        <w:rPr>
          <w:sz w:val="28"/>
          <w:szCs w:val="28"/>
        </w:rPr>
        <w:t xml:space="preserve"> общей площадью </w:t>
      </w:r>
      <w:r w:rsidR="00FA7DA7">
        <w:rPr>
          <w:sz w:val="28"/>
          <w:szCs w:val="28"/>
        </w:rPr>
        <w:t>1348,22</w:t>
      </w:r>
      <w:r w:rsidR="004041D6">
        <w:rPr>
          <w:sz w:val="28"/>
          <w:szCs w:val="28"/>
        </w:rPr>
        <w:t xml:space="preserve"> </w:t>
      </w:r>
      <w:r w:rsidRPr="00257DB2">
        <w:rPr>
          <w:sz w:val="28"/>
          <w:szCs w:val="28"/>
        </w:rPr>
        <w:t xml:space="preserve">тыс.кв.м. В полном объеме выполнено </w:t>
      </w:r>
      <w:r w:rsidR="00FA7DA7">
        <w:rPr>
          <w:sz w:val="28"/>
          <w:szCs w:val="28"/>
        </w:rPr>
        <w:t>238</w:t>
      </w:r>
      <w:r w:rsidRPr="00257DB2">
        <w:rPr>
          <w:sz w:val="28"/>
          <w:szCs w:val="28"/>
        </w:rPr>
        <w:t xml:space="preserve"> предписани</w:t>
      </w:r>
      <w:r w:rsidR="00FA7DA7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, что составляет </w:t>
      </w:r>
      <w:r w:rsidR="00FA7DA7">
        <w:rPr>
          <w:sz w:val="28"/>
          <w:szCs w:val="28"/>
        </w:rPr>
        <w:t>63%</w:t>
      </w:r>
      <w:r w:rsidRPr="00257DB2">
        <w:rPr>
          <w:sz w:val="28"/>
          <w:szCs w:val="28"/>
        </w:rPr>
        <w:t xml:space="preserve"> от общего числа проверенных, оформлено </w:t>
      </w:r>
      <w:r w:rsidR="00FA7DA7">
        <w:rPr>
          <w:sz w:val="28"/>
          <w:szCs w:val="28"/>
        </w:rPr>
        <w:t>509</w:t>
      </w:r>
      <w:r w:rsidRPr="00257DB2">
        <w:rPr>
          <w:sz w:val="28"/>
          <w:szCs w:val="28"/>
        </w:rPr>
        <w:t xml:space="preserve"> исполнительных документов, в том числе: </w:t>
      </w:r>
      <w:r w:rsidR="00FA7DA7">
        <w:rPr>
          <w:sz w:val="28"/>
          <w:szCs w:val="28"/>
        </w:rPr>
        <w:t>136</w:t>
      </w:r>
      <w:r w:rsidRPr="00257DB2">
        <w:rPr>
          <w:sz w:val="28"/>
          <w:szCs w:val="28"/>
        </w:rPr>
        <w:t xml:space="preserve"> протокол</w:t>
      </w:r>
      <w:r w:rsidR="00FA7DA7">
        <w:rPr>
          <w:sz w:val="28"/>
          <w:szCs w:val="28"/>
        </w:rPr>
        <w:t>ов</w:t>
      </w:r>
      <w:r w:rsidRPr="00257DB2">
        <w:rPr>
          <w:sz w:val="28"/>
          <w:szCs w:val="28"/>
        </w:rPr>
        <w:t xml:space="preserve">, </w:t>
      </w:r>
      <w:r w:rsidR="00FA7DA7">
        <w:rPr>
          <w:sz w:val="28"/>
          <w:szCs w:val="28"/>
        </w:rPr>
        <w:t>373</w:t>
      </w:r>
      <w:r w:rsidRPr="00257DB2">
        <w:rPr>
          <w:sz w:val="28"/>
          <w:szCs w:val="28"/>
        </w:rPr>
        <w:t xml:space="preserve"> ак</w:t>
      </w:r>
      <w:r w:rsidR="00FA7DA7">
        <w:rPr>
          <w:sz w:val="28"/>
          <w:szCs w:val="28"/>
        </w:rPr>
        <w:t>та</w:t>
      </w:r>
      <w:r w:rsidRPr="00257DB2">
        <w:rPr>
          <w:sz w:val="28"/>
          <w:szCs w:val="28"/>
        </w:rPr>
        <w:t xml:space="preserve"> проверки предписаний. По </w:t>
      </w:r>
      <w:r w:rsidR="00FA7DA7">
        <w:rPr>
          <w:sz w:val="28"/>
          <w:szCs w:val="28"/>
        </w:rPr>
        <w:t>136</w:t>
      </w:r>
      <w:r w:rsidRPr="00257DB2">
        <w:rPr>
          <w:sz w:val="28"/>
          <w:szCs w:val="28"/>
        </w:rPr>
        <w:t xml:space="preserve"> невыполненным или выполненным не в полном объеме предписаниям за неустранение</w:t>
      </w:r>
      <w:r w:rsidR="004041D6">
        <w:rPr>
          <w:sz w:val="28"/>
          <w:szCs w:val="28"/>
        </w:rPr>
        <w:t xml:space="preserve"> </w:t>
      </w:r>
      <w:r w:rsidR="00FA7DA7">
        <w:rPr>
          <w:sz w:val="28"/>
          <w:szCs w:val="28"/>
        </w:rPr>
        <w:t>277</w:t>
      </w:r>
      <w:r w:rsidRPr="00257DB2">
        <w:rPr>
          <w:sz w:val="28"/>
          <w:szCs w:val="28"/>
        </w:rPr>
        <w:t xml:space="preserve"> нарушений материалы в отношении управляющих организаций – правонарушителей направлены в мировой суд.</w:t>
      </w:r>
    </w:p>
    <w:p w:rsidR="005E4FBF" w:rsidRPr="00D9537F" w:rsidRDefault="005E4FBF" w:rsidP="005E4FBF">
      <w:pPr>
        <w:pStyle w:val="30"/>
        <w:spacing w:line="276" w:lineRule="auto"/>
        <w:rPr>
          <w:sz w:val="28"/>
          <w:szCs w:val="28"/>
        </w:rPr>
      </w:pPr>
      <w:r w:rsidRPr="00D9537F">
        <w:rPr>
          <w:sz w:val="28"/>
          <w:szCs w:val="28"/>
        </w:rPr>
        <w:t xml:space="preserve">Руководителем жилищной инспекции, в соответствие с графиками личного приема граждан, </w:t>
      </w:r>
      <w:r w:rsidR="00F17FAA">
        <w:rPr>
          <w:sz w:val="28"/>
          <w:szCs w:val="28"/>
        </w:rPr>
        <w:t xml:space="preserve">в </w:t>
      </w:r>
      <w:r w:rsidR="00730098" w:rsidRPr="00D9537F">
        <w:rPr>
          <w:sz w:val="28"/>
          <w:szCs w:val="28"/>
        </w:rPr>
        <w:t xml:space="preserve">2016 </w:t>
      </w:r>
      <w:r w:rsidRPr="00D9537F">
        <w:rPr>
          <w:sz w:val="28"/>
          <w:szCs w:val="28"/>
        </w:rPr>
        <w:t>г. принят</w:t>
      </w:r>
      <w:r w:rsidR="00D9537F" w:rsidRPr="00D9537F">
        <w:rPr>
          <w:sz w:val="28"/>
          <w:szCs w:val="28"/>
        </w:rPr>
        <w:t>о</w:t>
      </w:r>
      <w:r w:rsidRPr="00D9537F">
        <w:rPr>
          <w:sz w:val="28"/>
          <w:szCs w:val="28"/>
        </w:rPr>
        <w:t xml:space="preserve"> </w:t>
      </w:r>
      <w:r w:rsidR="00FA7DA7">
        <w:rPr>
          <w:sz w:val="28"/>
          <w:szCs w:val="28"/>
        </w:rPr>
        <w:t>120</w:t>
      </w:r>
      <w:r w:rsidRPr="00D9537F">
        <w:rPr>
          <w:sz w:val="28"/>
          <w:szCs w:val="28"/>
        </w:rPr>
        <w:t xml:space="preserve"> человек</w:t>
      </w:r>
      <w:r w:rsidR="005F39E4">
        <w:rPr>
          <w:sz w:val="28"/>
          <w:szCs w:val="28"/>
        </w:rPr>
        <w:t>а</w:t>
      </w:r>
      <w:r w:rsidRPr="00D9537F">
        <w:rPr>
          <w:sz w:val="28"/>
          <w:szCs w:val="28"/>
        </w:rPr>
        <w:t xml:space="preserve">. В </w:t>
      </w:r>
      <w:r w:rsidR="00FA7DA7">
        <w:rPr>
          <w:sz w:val="28"/>
          <w:szCs w:val="28"/>
        </w:rPr>
        <w:t>61</w:t>
      </w:r>
      <w:r w:rsidRPr="00D9537F">
        <w:rPr>
          <w:sz w:val="28"/>
          <w:szCs w:val="28"/>
        </w:rPr>
        <w:t xml:space="preserve"> случа</w:t>
      </w:r>
      <w:r w:rsidR="00FA7DA7">
        <w:rPr>
          <w:sz w:val="28"/>
          <w:szCs w:val="28"/>
        </w:rPr>
        <w:t>е</w:t>
      </w:r>
      <w:r w:rsidRPr="00D9537F">
        <w:rPr>
          <w:sz w:val="28"/>
          <w:szCs w:val="28"/>
        </w:rPr>
        <w:t xml:space="preserve"> обращения приняты к рассмотрению в жилищной инспекции, в </w:t>
      </w:r>
      <w:r w:rsidR="00FA7DA7">
        <w:rPr>
          <w:sz w:val="28"/>
          <w:szCs w:val="28"/>
        </w:rPr>
        <w:t>59</w:t>
      </w:r>
      <w:r w:rsidRPr="00D9537F">
        <w:rPr>
          <w:sz w:val="28"/>
          <w:szCs w:val="28"/>
        </w:rPr>
        <w:t xml:space="preserve"> случаях </w:t>
      </w:r>
      <w:r w:rsidRPr="00D9537F">
        <w:rPr>
          <w:sz w:val="28"/>
          <w:szCs w:val="28"/>
        </w:rPr>
        <w:lastRenderedPageBreak/>
        <w:t>поднятые заявителями вопросы разрешены на месте, по всем поднятым вопросам даны разъяснения, основанные на действующем законодательстве.</w:t>
      </w:r>
    </w:p>
    <w:p w:rsidR="00965FB7" w:rsidRPr="00965FB7" w:rsidRDefault="00965FB7" w:rsidP="00965FB7">
      <w:pPr>
        <w:pStyle w:val="30"/>
        <w:spacing w:line="276" w:lineRule="auto"/>
        <w:rPr>
          <w:sz w:val="28"/>
          <w:szCs w:val="28"/>
        </w:rPr>
      </w:pPr>
      <w:r w:rsidRPr="00965FB7">
        <w:rPr>
          <w:sz w:val="28"/>
          <w:szCs w:val="28"/>
        </w:rPr>
        <w:t>Руководителем жилищной инспекции, в соответствие с графиками личного приема граждан в общественных приемных губернатора области в муниципальных образованиях, проведен прием граждан в Железнодорожном, Ленинском, Коминтерновском и Левобережном районах городского округа г</w:t>
      </w:r>
      <w:proofErr w:type="gramStart"/>
      <w:r w:rsidRPr="00965FB7">
        <w:rPr>
          <w:sz w:val="28"/>
          <w:szCs w:val="28"/>
        </w:rPr>
        <w:t>.В</w:t>
      </w:r>
      <w:proofErr w:type="gramEnd"/>
      <w:r w:rsidRPr="00965FB7">
        <w:rPr>
          <w:sz w:val="28"/>
          <w:szCs w:val="28"/>
        </w:rPr>
        <w:t xml:space="preserve">оронеж и в </w:t>
      </w:r>
      <w:proofErr w:type="spellStart"/>
      <w:r w:rsidRPr="00965FB7">
        <w:rPr>
          <w:sz w:val="28"/>
          <w:szCs w:val="28"/>
        </w:rPr>
        <w:t>Рамонском</w:t>
      </w:r>
      <w:proofErr w:type="spellEnd"/>
      <w:r w:rsidRPr="00965FB7">
        <w:rPr>
          <w:sz w:val="28"/>
          <w:szCs w:val="28"/>
        </w:rPr>
        <w:t xml:space="preserve">, </w:t>
      </w:r>
      <w:proofErr w:type="spellStart"/>
      <w:r w:rsidRPr="00965FB7">
        <w:rPr>
          <w:sz w:val="28"/>
          <w:szCs w:val="28"/>
        </w:rPr>
        <w:t>Лискинском</w:t>
      </w:r>
      <w:proofErr w:type="spellEnd"/>
      <w:r w:rsidRPr="00965FB7">
        <w:rPr>
          <w:sz w:val="28"/>
          <w:szCs w:val="28"/>
        </w:rPr>
        <w:t xml:space="preserve">, Каменском, </w:t>
      </w:r>
      <w:proofErr w:type="spellStart"/>
      <w:r w:rsidRPr="00965FB7">
        <w:rPr>
          <w:sz w:val="28"/>
          <w:szCs w:val="28"/>
        </w:rPr>
        <w:t>Поворинском</w:t>
      </w:r>
      <w:proofErr w:type="spellEnd"/>
      <w:r w:rsidRPr="00965FB7">
        <w:rPr>
          <w:sz w:val="28"/>
          <w:szCs w:val="28"/>
        </w:rPr>
        <w:t xml:space="preserve"> и  </w:t>
      </w:r>
      <w:proofErr w:type="spellStart"/>
      <w:r w:rsidRPr="00965FB7">
        <w:rPr>
          <w:sz w:val="28"/>
          <w:szCs w:val="28"/>
        </w:rPr>
        <w:t>Семилукском</w:t>
      </w:r>
      <w:proofErr w:type="spellEnd"/>
      <w:r w:rsidRPr="00965FB7">
        <w:rPr>
          <w:sz w:val="28"/>
          <w:szCs w:val="28"/>
        </w:rPr>
        <w:t xml:space="preserve"> муниципальных районах Воронежской области. Принято 94 человека, в основном поднятые заявителями вопросы разрешены на месте с участием органов местного самоуправления, 12 обращений переданы в правительство Воронежской области.</w:t>
      </w:r>
    </w:p>
    <w:p w:rsidR="00965FB7" w:rsidRPr="005C4276" w:rsidRDefault="00257DB2" w:rsidP="00965FB7">
      <w:pPr>
        <w:pStyle w:val="30"/>
        <w:spacing w:line="276" w:lineRule="auto"/>
        <w:rPr>
          <w:sz w:val="28"/>
          <w:szCs w:val="28"/>
        </w:rPr>
      </w:pPr>
      <w:r w:rsidRPr="00D9537F">
        <w:rPr>
          <w:sz w:val="28"/>
          <w:szCs w:val="28"/>
        </w:rPr>
        <w:t xml:space="preserve">По обращениям граждан и организаций </w:t>
      </w:r>
      <w:r w:rsidR="00F17FAA">
        <w:rPr>
          <w:sz w:val="28"/>
          <w:szCs w:val="28"/>
        </w:rPr>
        <w:t xml:space="preserve">в </w:t>
      </w:r>
      <w:r w:rsidR="00730098" w:rsidRPr="00D9537F">
        <w:rPr>
          <w:sz w:val="28"/>
          <w:szCs w:val="28"/>
        </w:rPr>
        <w:t xml:space="preserve">2016 </w:t>
      </w:r>
      <w:r w:rsidRPr="00D9537F">
        <w:rPr>
          <w:sz w:val="28"/>
          <w:szCs w:val="28"/>
        </w:rPr>
        <w:t xml:space="preserve">г. </w:t>
      </w:r>
      <w:r w:rsidR="00495F51">
        <w:rPr>
          <w:sz w:val="28"/>
          <w:szCs w:val="28"/>
        </w:rPr>
        <w:t xml:space="preserve">инспекцией </w:t>
      </w:r>
      <w:r w:rsidR="00D9537F" w:rsidRPr="00D9537F">
        <w:rPr>
          <w:sz w:val="28"/>
          <w:szCs w:val="28"/>
        </w:rPr>
        <w:t>наложены</w:t>
      </w:r>
      <w:r w:rsidR="00D9537F" w:rsidRPr="005C4276">
        <w:rPr>
          <w:sz w:val="28"/>
          <w:szCs w:val="28"/>
        </w:rPr>
        <w:t xml:space="preserve"> штрафные санкции на общую </w:t>
      </w:r>
      <w:r w:rsidR="00965FB7" w:rsidRPr="005C4276">
        <w:rPr>
          <w:sz w:val="28"/>
          <w:szCs w:val="28"/>
        </w:rPr>
        <w:t xml:space="preserve">сумму </w:t>
      </w:r>
      <w:r w:rsidR="00965FB7">
        <w:rPr>
          <w:sz w:val="28"/>
          <w:szCs w:val="28"/>
        </w:rPr>
        <w:t>861,5</w:t>
      </w:r>
      <w:r w:rsidR="00965FB7" w:rsidRPr="005C4276">
        <w:rPr>
          <w:sz w:val="28"/>
          <w:szCs w:val="28"/>
        </w:rPr>
        <w:t xml:space="preserve"> тыс. руб., в том числе:</w:t>
      </w:r>
    </w:p>
    <w:p w:rsidR="00965FB7" w:rsidRPr="005C4276" w:rsidRDefault="00965FB7" w:rsidP="00965FB7">
      <w:pPr>
        <w:pStyle w:val="30"/>
        <w:spacing w:line="276" w:lineRule="auto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>
        <w:rPr>
          <w:sz w:val="28"/>
          <w:szCs w:val="28"/>
        </w:rPr>
        <w:t>29,5</w:t>
      </w:r>
      <w:r w:rsidRPr="005C4276">
        <w:rPr>
          <w:sz w:val="28"/>
          <w:szCs w:val="28"/>
        </w:rPr>
        <w:t xml:space="preserve"> тыс. руб. на </w:t>
      </w:r>
      <w:r>
        <w:rPr>
          <w:sz w:val="28"/>
          <w:szCs w:val="28"/>
        </w:rPr>
        <w:t>9</w:t>
      </w:r>
      <w:r w:rsidRPr="005C4276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ых</w:t>
      </w:r>
      <w:r w:rsidRPr="005C4276">
        <w:rPr>
          <w:sz w:val="28"/>
          <w:szCs w:val="28"/>
        </w:rPr>
        <w:t xml:space="preserve"> лиц,</w:t>
      </w:r>
    </w:p>
    <w:p w:rsidR="00965FB7" w:rsidRPr="005C4276" w:rsidRDefault="00965FB7" w:rsidP="00965FB7">
      <w:pPr>
        <w:pStyle w:val="30"/>
        <w:spacing w:line="276" w:lineRule="auto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>
        <w:rPr>
          <w:sz w:val="28"/>
          <w:szCs w:val="28"/>
        </w:rPr>
        <w:t>809</w:t>
      </w:r>
      <w:r w:rsidRPr="005C4276">
        <w:rPr>
          <w:sz w:val="28"/>
          <w:szCs w:val="28"/>
        </w:rPr>
        <w:t xml:space="preserve"> тыс. руб. на </w:t>
      </w:r>
      <w:r>
        <w:rPr>
          <w:sz w:val="28"/>
          <w:szCs w:val="28"/>
        </w:rPr>
        <w:t>19</w:t>
      </w:r>
      <w:r w:rsidRPr="005C4276">
        <w:rPr>
          <w:sz w:val="28"/>
          <w:szCs w:val="28"/>
        </w:rPr>
        <w:t xml:space="preserve"> юридических лиц,</w:t>
      </w:r>
    </w:p>
    <w:p w:rsidR="002E4A5C" w:rsidRDefault="00965FB7" w:rsidP="00965FB7">
      <w:pPr>
        <w:pStyle w:val="30"/>
        <w:spacing w:line="276" w:lineRule="auto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>
        <w:rPr>
          <w:sz w:val="28"/>
          <w:szCs w:val="28"/>
        </w:rPr>
        <w:t>23</w:t>
      </w:r>
      <w:r w:rsidRPr="005C4276">
        <w:rPr>
          <w:sz w:val="28"/>
          <w:szCs w:val="28"/>
        </w:rPr>
        <w:t xml:space="preserve"> тыс. руб. на </w:t>
      </w:r>
      <w:r>
        <w:rPr>
          <w:sz w:val="28"/>
          <w:szCs w:val="28"/>
        </w:rPr>
        <w:t>11</w:t>
      </w:r>
      <w:r w:rsidRPr="005C4276">
        <w:rPr>
          <w:sz w:val="28"/>
          <w:szCs w:val="28"/>
        </w:rPr>
        <w:t xml:space="preserve"> физических лиц</w:t>
      </w:r>
      <w:r>
        <w:rPr>
          <w:sz w:val="28"/>
          <w:szCs w:val="28"/>
        </w:rPr>
        <w:t>.</w:t>
      </w:r>
    </w:p>
    <w:p w:rsidR="00965FB7" w:rsidRDefault="00965FB7" w:rsidP="00965FB7">
      <w:pPr>
        <w:pStyle w:val="30"/>
        <w:spacing w:line="276" w:lineRule="auto"/>
        <w:rPr>
          <w:sz w:val="28"/>
          <w:szCs w:val="28"/>
        </w:rPr>
      </w:pPr>
    </w:p>
    <w:p w:rsidR="00C94499" w:rsidRPr="00257DB2" w:rsidRDefault="00C94499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>Примеры, отражающие результативность рассмотрения обращений:</w:t>
      </w:r>
    </w:p>
    <w:p w:rsidR="00965FB7" w:rsidRPr="00DF492C" w:rsidRDefault="00965FB7" w:rsidP="00965FB7">
      <w:pPr>
        <w:tabs>
          <w:tab w:val="left" w:pos="0"/>
          <w:tab w:val="left" w:pos="2835"/>
        </w:tabs>
        <w:spacing w:line="276" w:lineRule="auto"/>
        <w:ind w:firstLine="692"/>
        <w:jc w:val="both"/>
        <w:rPr>
          <w:sz w:val="28"/>
          <w:szCs w:val="28"/>
        </w:rPr>
      </w:pPr>
      <w:r w:rsidRPr="00DF492C">
        <w:rPr>
          <w:sz w:val="28"/>
          <w:szCs w:val="28"/>
        </w:rPr>
        <w:t xml:space="preserve">- по обращению жителей дома № </w:t>
      </w:r>
      <w:r>
        <w:rPr>
          <w:sz w:val="28"/>
          <w:szCs w:val="28"/>
        </w:rPr>
        <w:t>34Б</w:t>
      </w:r>
      <w:r w:rsidRPr="00DF492C">
        <w:rPr>
          <w:sz w:val="28"/>
          <w:szCs w:val="28"/>
        </w:rPr>
        <w:t xml:space="preserve"> по </w:t>
      </w: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ртамонова</w:t>
      </w:r>
      <w:r w:rsidRPr="00DF492C">
        <w:rPr>
          <w:sz w:val="28"/>
          <w:szCs w:val="28"/>
        </w:rPr>
        <w:t xml:space="preserve">  г.Воронежа по вопросу </w:t>
      </w:r>
      <w:r>
        <w:rPr>
          <w:sz w:val="28"/>
          <w:szCs w:val="28"/>
        </w:rPr>
        <w:t xml:space="preserve">нарушения в начислении оплаты на </w:t>
      </w:r>
      <w:proofErr w:type="spellStart"/>
      <w:r>
        <w:rPr>
          <w:sz w:val="28"/>
          <w:szCs w:val="28"/>
        </w:rPr>
        <w:t>общедомовые</w:t>
      </w:r>
      <w:proofErr w:type="spellEnd"/>
      <w:r>
        <w:rPr>
          <w:sz w:val="28"/>
          <w:szCs w:val="28"/>
        </w:rPr>
        <w:t xml:space="preserve"> нужды</w:t>
      </w:r>
      <w:r w:rsidRPr="00DF492C">
        <w:rPr>
          <w:sz w:val="28"/>
          <w:szCs w:val="28"/>
        </w:rPr>
        <w:t xml:space="preserve"> при проведении проверки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>
        <w:rPr>
          <w:sz w:val="28"/>
          <w:szCs w:val="28"/>
        </w:rPr>
        <w:t xml:space="preserve"> организации</w:t>
      </w:r>
      <w:r w:rsidRPr="00DF492C">
        <w:rPr>
          <w:sz w:val="28"/>
          <w:szCs w:val="28"/>
        </w:rPr>
        <w:t xml:space="preserve"> выдано предписание на устранение нарушений, </w:t>
      </w:r>
      <w:r>
        <w:rPr>
          <w:sz w:val="28"/>
          <w:szCs w:val="28"/>
        </w:rPr>
        <w:t>предписание находится на контроле инспекции</w:t>
      </w:r>
      <w:r w:rsidRPr="00DF492C">
        <w:rPr>
          <w:sz w:val="28"/>
          <w:szCs w:val="28"/>
        </w:rPr>
        <w:t>;</w:t>
      </w:r>
    </w:p>
    <w:p w:rsidR="00965FB7" w:rsidRPr="00DF492C" w:rsidRDefault="00965FB7" w:rsidP="00965FB7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DF492C">
        <w:rPr>
          <w:sz w:val="28"/>
          <w:szCs w:val="28"/>
        </w:rPr>
        <w:t xml:space="preserve">- по обращению жителей дома № </w:t>
      </w:r>
      <w:r>
        <w:rPr>
          <w:sz w:val="28"/>
          <w:szCs w:val="28"/>
        </w:rPr>
        <w:t>9</w:t>
      </w:r>
      <w:r w:rsidRPr="00DF492C">
        <w:rPr>
          <w:sz w:val="28"/>
          <w:szCs w:val="28"/>
        </w:rPr>
        <w:t xml:space="preserve"> по </w:t>
      </w:r>
      <w:r>
        <w:rPr>
          <w:sz w:val="28"/>
          <w:szCs w:val="28"/>
        </w:rPr>
        <w:t>бульвару Победы</w:t>
      </w:r>
      <w:r w:rsidRPr="00DF492C">
        <w:rPr>
          <w:sz w:val="28"/>
          <w:szCs w:val="28"/>
        </w:rPr>
        <w:t xml:space="preserve">  г</w:t>
      </w:r>
      <w:proofErr w:type="gramStart"/>
      <w:r w:rsidRPr="00DF492C">
        <w:rPr>
          <w:sz w:val="28"/>
          <w:szCs w:val="28"/>
        </w:rPr>
        <w:t>.В</w:t>
      </w:r>
      <w:proofErr w:type="gramEnd"/>
      <w:r w:rsidRPr="00DF492C">
        <w:rPr>
          <w:sz w:val="28"/>
          <w:szCs w:val="28"/>
        </w:rPr>
        <w:t xml:space="preserve">оронежа  по вопросу </w:t>
      </w:r>
      <w:r>
        <w:rPr>
          <w:sz w:val="28"/>
          <w:szCs w:val="28"/>
        </w:rPr>
        <w:t>неудовлетворительного состояния дома</w:t>
      </w:r>
      <w:r w:rsidRPr="00DF492C">
        <w:rPr>
          <w:sz w:val="28"/>
          <w:szCs w:val="28"/>
        </w:rPr>
        <w:t xml:space="preserve"> </w:t>
      </w:r>
      <w:r w:rsidRPr="00FC29B4">
        <w:rPr>
          <w:sz w:val="28"/>
          <w:szCs w:val="28"/>
        </w:rPr>
        <w:t xml:space="preserve">при проведении проверки установлено, что после получения уведомления о предстоящей проверке управляющей организацией уже приняты меры и </w:t>
      </w:r>
      <w:r>
        <w:rPr>
          <w:sz w:val="28"/>
          <w:szCs w:val="28"/>
        </w:rPr>
        <w:t xml:space="preserve">все </w:t>
      </w:r>
      <w:r w:rsidRPr="00FC29B4">
        <w:rPr>
          <w:sz w:val="28"/>
          <w:szCs w:val="28"/>
        </w:rPr>
        <w:t>нарушения устранены;</w:t>
      </w:r>
    </w:p>
    <w:p w:rsidR="00965FB7" w:rsidRPr="00DF492C" w:rsidRDefault="00965FB7" w:rsidP="00965FB7">
      <w:pPr>
        <w:tabs>
          <w:tab w:val="left" w:pos="0"/>
          <w:tab w:val="left" w:pos="2835"/>
        </w:tabs>
        <w:spacing w:line="276" w:lineRule="auto"/>
        <w:ind w:firstLine="692"/>
        <w:jc w:val="both"/>
        <w:rPr>
          <w:sz w:val="28"/>
          <w:szCs w:val="28"/>
        </w:rPr>
      </w:pPr>
      <w:r w:rsidRPr="00DF492C">
        <w:rPr>
          <w:sz w:val="28"/>
          <w:szCs w:val="28"/>
        </w:rPr>
        <w:t xml:space="preserve">- по обращению жителей дома № </w:t>
      </w:r>
      <w:r>
        <w:rPr>
          <w:sz w:val="28"/>
          <w:szCs w:val="28"/>
        </w:rPr>
        <w:t>10</w:t>
      </w:r>
      <w:r w:rsidRPr="00DF492C">
        <w:rPr>
          <w:sz w:val="28"/>
          <w:szCs w:val="28"/>
        </w:rPr>
        <w:t xml:space="preserve"> по </w:t>
      </w: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раснознаменная</w:t>
      </w:r>
      <w:r w:rsidRPr="00DF492C">
        <w:rPr>
          <w:sz w:val="28"/>
          <w:szCs w:val="28"/>
        </w:rPr>
        <w:t xml:space="preserve">  г.Воронежа по вопросу </w:t>
      </w:r>
      <w:r>
        <w:rPr>
          <w:sz w:val="28"/>
          <w:szCs w:val="28"/>
        </w:rPr>
        <w:t>нарушения Стандарта раскрытия информации</w:t>
      </w:r>
      <w:r w:rsidRPr="00DF492C">
        <w:rPr>
          <w:sz w:val="28"/>
          <w:szCs w:val="28"/>
        </w:rPr>
        <w:t xml:space="preserve"> при проведении проверки управляющей организации выдано предписание на устранение нарушений, </w:t>
      </w:r>
      <w:r>
        <w:rPr>
          <w:sz w:val="28"/>
          <w:szCs w:val="28"/>
        </w:rPr>
        <w:t>в установленные сроки нарушение устранено</w:t>
      </w:r>
      <w:r w:rsidRPr="00DF492C">
        <w:rPr>
          <w:sz w:val="28"/>
          <w:szCs w:val="28"/>
        </w:rPr>
        <w:t>;</w:t>
      </w:r>
    </w:p>
    <w:p w:rsidR="00965FB7" w:rsidRPr="00AF1576" w:rsidRDefault="00965FB7" w:rsidP="00965FB7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FC29B4">
        <w:rPr>
          <w:sz w:val="28"/>
          <w:szCs w:val="28"/>
        </w:rPr>
        <w:t>- обращени</w:t>
      </w:r>
      <w:r>
        <w:rPr>
          <w:sz w:val="28"/>
          <w:szCs w:val="28"/>
        </w:rPr>
        <w:t>е</w:t>
      </w:r>
      <w:r w:rsidRPr="00FC29B4">
        <w:rPr>
          <w:sz w:val="28"/>
          <w:szCs w:val="28"/>
        </w:rPr>
        <w:t xml:space="preserve"> жителей дома № </w:t>
      </w:r>
      <w:r>
        <w:rPr>
          <w:sz w:val="28"/>
          <w:szCs w:val="28"/>
        </w:rPr>
        <w:t>65</w:t>
      </w:r>
      <w:r w:rsidRPr="00FC29B4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Острогожская</w:t>
      </w:r>
      <w:proofErr w:type="spellEnd"/>
      <w:r w:rsidRPr="00FC29B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оронежа по вопросу неудовлетворительного состояния кровли отозвано в связи с устранением управляющей организацией нарушения после обращения заявителя в жилищную инспекцию.</w:t>
      </w:r>
    </w:p>
    <w:p w:rsidR="00C94499" w:rsidRPr="00AF1576" w:rsidRDefault="00C94499" w:rsidP="001277C6">
      <w:pPr>
        <w:tabs>
          <w:tab w:val="left" w:pos="0"/>
          <w:tab w:val="left" w:pos="2835"/>
        </w:tabs>
        <w:spacing w:line="276" w:lineRule="auto"/>
        <w:ind w:firstLine="692"/>
        <w:jc w:val="both"/>
        <w:rPr>
          <w:sz w:val="28"/>
          <w:szCs w:val="28"/>
        </w:rPr>
      </w:pPr>
    </w:p>
    <w:sectPr w:rsidR="00C94499" w:rsidRPr="00AF1576" w:rsidSect="000F1EA9">
      <w:headerReference w:type="even" r:id="rId10"/>
      <w:headerReference w:type="default" r:id="rId11"/>
      <w:pgSz w:w="11906" w:h="16838"/>
      <w:pgMar w:top="1079" w:right="566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C3" w:rsidRDefault="000A62C3">
      <w:r>
        <w:separator/>
      </w:r>
    </w:p>
  </w:endnote>
  <w:endnote w:type="continuationSeparator" w:id="0">
    <w:p w:rsidR="000A62C3" w:rsidRDefault="000A6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C3" w:rsidRDefault="000A62C3">
      <w:r>
        <w:separator/>
      </w:r>
    </w:p>
  </w:footnote>
  <w:footnote w:type="continuationSeparator" w:id="0">
    <w:p w:rsidR="000A62C3" w:rsidRDefault="000A6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C0" w:rsidRDefault="00904C1E" w:rsidP="000B6B8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1F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1FC0" w:rsidRDefault="00A51FC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B83" w:rsidRDefault="00904C1E" w:rsidP="00EA09D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6B8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404A">
      <w:rPr>
        <w:rStyle w:val="a7"/>
        <w:noProof/>
      </w:rPr>
      <w:t>2</w:t>
    </w:r>
    <w:r>
      <w:rPr>
        <w:rStyle w:val="a7"/>
      </w:rPr>
      <w:fldChar w:fldCharType="end"/>
    </w:r>
  </w:p>
  <w:p w:rsidR="00A51FC0" w:rsidRDefault="00A51FC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4A4"/>
    <w:multiLevelType w:val="hybridMultilevel"/>
    <w:tmpl w:val="6FB29700"/>
    <w:lvl w:ilvl="0" w:tplc="84621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E527C">
      <w:numFmt w:val="none"/>
      <w:lvlText w:val=""/>
      <w:lvlJc w:val="left"/>
      <w:pPr>
        <w:tabs>
          <w:tab w:val="num" w:pos="360"/>
        </w:tabs>
      </w:pPr>
    </w:lvl>
    <w:lvl w:ilvl="2" w:tplc="CDD4CAAE">
      <w:numFmt w:val="none"/>
      <w:lvlText w:val=""/>
      <w:lvlJc w:val="left"/>
      <w:pPr>
        <w:tabs>
          <w:tab w:val="num" w:pos="360"/>
        </w:tabs>
      </w:pPr>
    </w:lvl>
    <w:lvl w:ilvl="3" w:tplc="23B8A662">
      <w:numFmt w:val="none"/>
      <w:lvlText w:val=""/>
      <w:lvlJc w:val="left"/>
      <w:pPr>
        <w:tabs>
          <w:tab w:val="num" w:pos="360"/>
        </w:tabs>
      </w:pPr>
    </w:lvl>
    <w:lvl w:ilvl="4" w:tplc="A392C6EA">
      <w:numFmt w:val="none"/>
      <w:lvlText w:val=""/>
      <w:lvlJc w:val="left"/>
      <w:pPr>
        <w:tabs>
          <w:tab w:val="num" w:pos="360"/>
        </w:tabs>
      </w:pPr>
    </w:lvl>
    <w:lvl w:ilvl="5" w:tplc="77C66F9E">
      <w:numFmt w:val="none"/>
      <w:lvlText w:val=""/>
      <w:lvlJc w:val="left"/>
      <w:pPr>
        <w:tabs>
          <w:tab w:val="num" w:pos="360"/>
        </w:tabs>
      </w:pPr>
    </w:lvl>
    <w:lvl w:ilvl="6" w:tplc="89E22EC8">
      <w:numFmt w:val="none"/>
      <w:lvlText w:val=""/>
      <w:lvlJc w:val="left"/>
      <w:pPr>
        <w:tabs>
          <w:tab w:val="num" w:pos="360"/>
        </w:tabs>
      </w:pPr>
    </w:lvl>
    <w:lvl w:ilvl="7" w:tplc="3C306AA6">
      <w:numFmt w:val="none"/>
      <w:lvlText w:val=""/>
      <w:lvlJc w:val="left"/>
      <w:pPr>
        <w:tabs>
          <w:tab w:val="num" w:pos="360"/>
        </w:tabs>
      </w:pPr>
    </w:lvl>
    <w:lvl w:ilvl="8" w:tplc="BF7EC2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851E31"/>
    <w:multiLevelType w:val="hybridMultilevel"/>
    <w:tmpl w:val="4D6466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B533E2"/>
    <w:multiLevelType w:val="multilevel"/>
    <w:tmpl w:val="8278CE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EB45E80"/>
    <w:multiLevelType w:val="hybridMultilevel"/>
    <w:tmpl w:val="A90813F8"/>
    <w:lvl w:ilvl="0" w:tplc="6AD63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104C">
      <w:numFmt w:val="none"/>
      <w:lvlText w:val=""/>
      <w:lvlJc w:val="left"/>
      <w:pPr>
        <w:tabs>
          <w:tab w:val="num" w:pos="360"/>
        </w:tabs>
      </w:pPr>
    </w:lvl>
    <w:lvl w:ilvl="2" w:tplc="941C660A">
      <w:numFmt w:val="none"/>
      <w:lvlText w:val=""/>
      <w:lvlJc w:val="left"/>
      <w:pPr>
        <w:tabs>
          <w:tab w:val="num" w:pos="360"/>
        </w:tabs>
      </w:pPr>
    </w:lvl>
    <w:lvl w:ilvl="3" w:tplc="03EE0D60">
      <w:numFmt w:val="none"/>
      <w:lvlText w:val=""/>
      <w:lvlJc w:val="left"/>
      <w:pPr>
        <w:tabs>
          <w:tab w:val="num" w:pos="360"/>
        </w:tabs>
      </w:pPr>
    </w:lvl>
    <w:lvl w:ilvl="4" w:tplc="949CA840">
      <w:numFmt w:val="none"/>
      <w:lvlText w:val=""/>
      <w:lvlJc w:val="left"/>
      <w:pPr>
        <w:tabs>
          <w:tab w:val="num" w:pos="360"/>
        </w:tabs>
      </w:pPr>
    </w:lvl>
    <w:lvl w:ilvl="5" w:tplc="1DE890DA">
      <w:numFmt w:val="none"/>
      <w:lvlText w:val=""/>
      <w:lvlJc w:val="left"/>
      <w:pPr>
        <w:tabs>
          <w:tab w:val="num" w:pos="360"/>
        </w:tabs>
      </w:pPr>
    </w:lvl>
    <w:lvl w:ilvl="6" w:tplc="9A1CB1A8">
      <w:numFmt w:val="none"/>
      <w:lvlText w:val=""/>
      <w:lvlJc w:val="left"/>
      <w:pPr>
        <w:tabs>
          <w:tab w:val="num" w:pos="360"/>
        </w:tabs>
      </w:pPr>
    </w:lvl>
    <w:lvl w:ilvl="7" w:tplc="EEF49830">
      <w:numFmt w:val="none"/>
      <w:lvlText w:val=""/>
      <w:lvlJc w:val="left"/>
      <w:pPr>
        <w:tabs>
          <w:tab w:val="num" w:pos="360"/>
        </w:tabs>
      </w:pPr>
    </w:lvl>
    <w:lvl w:ilvl="8" w:tplc="D56AF6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D6C"/>
    <w:rsid w:val="00030E5F"/>
    <w:rsid w:val="000718C2"/>
    <w:rsid w:val="00075114"/>
    <w:rsid w:val="000947D2"/>
    <w:rsid w:val="00095054"/>
    <w:rsid w:val="00097403"/>
    <w:rsid w:val="000A0988"/>
    <w:rsid w:val="000A62C3"/>
    <w:rsid w:val="000A65CE"/>
    <w:rsid w:val="000B327D"/>
    <w:rsid w:val="000B57B0"/>
    <w:rsid w:val="000B6184"/>
    <w:rsid w:val="000B6B83"/>
    <w:rsid w:val="000E2CF2"/>
    <w:rsid w:val="000E419B"/>
    <w:rsid w:val="000F1AF0"/>
    <w:rsid w:val="000F1EA9"/>
    <w:rsid w:val="000F7E8E"/>
    <w:rsid w:val="00105FAA"/>
    <w:rsid w:val="0011532D"/>
    <w:rsid w:val="001277C6"/>
    <w:rsid w:val="00134A47"/>
    <w:rsid w:val="0015268C"/>
    <w:rsid w:val="00163285"/>
    <w:rsid w:val="00180274"/>
    <w:rsid w:val="001862FC"/>
    <w:rsid w:val="001A430C"/>
    <w:rsid w:val="001B19B0"/>
    <w:rsid w:val="001B73BC"/>
    <w:rsid w:val="001C184C"/>
    <w:rsid w:val="001D43A5"/>
    <w:rsid w:val="001E1910"/>
    <w:rsid w:val="001E3697"/>
    <w:rsid w:val="001E43E7"/>
    <w:rsid w:val="001E44DB"/>
    <w:rsid w:val="001E5966"/>
    <w:rsid w:val="001F0923"/>
    <w:rsid w:val="00203903"/>
    <w:rsid w:val="002064D5"/>
    <w:rsid w:val="00207604"/>
    <w:rsid w:val="00221D83"/>
    <w:rsid w:val="002270FD"/>
    <w:rsid w:val="00244DC3"/>
    <w:rsid w:val="00250ADC"/>
    <w:rsid w:val="00252735"/>
    <w:rsid w:val="00255CF5"/>
    <w:rsid w:val="002578DE"/>
    <w:rsid w:val="00257DB2"/>
    <w:rsid w:val="002657D6"/>
    <w:rsid w:val="0027404A"/>
    <w:rsid w:val="00281FD8"/>
    <w:rsid w:val="002827F2"/>
    <w:rsid w:val="00283E89"/>
    <w:rsid w:val="00285A24"/>
    <w:rsid w:val="00292B1D"/>
    <w:rsid w:val="00293DF6"/>
    <w:rsid w:val="002A68D4"/>
    <w:rsid w:val="002B03B9"/>
    <w:rsid w:val="002C45FD"/>
    <w:rsid w:val="002E4A5C"/>
    <w:rsid w:val="002F0C33"/>
    <w:rsid w:val="002F4B29"/>
    <w:rsid w:val="00311E37"/>
    <w:rsid w:val="00323920"/>
    <w:rsid w:val="0033000D"/>
    <w:rsid w:val="00330EEB"/>
    <w:rsid w:val="00344D7B"/>
    <w:rsid w:val="00352DFB"/>
    <w:rsid w:val="00362793"/>
    <w:rsid w:val="00362F50"/>
    <w:rsid w:val="0037496E"/>
    <w:rsid w:val="00375706"/>
    <w:rsid w:val="0038240F"/>
    <w:rsid w:val="003839B3"/>
    <w:rsid w:val="00385937"/>
    <w:rsid w:val="0039580A"/>
    <w:rsid w:val="003B153D"/>
    <w:rsid w:val="003B2BE2"/>
    <w:rsid w:val="003C7376"/>
    <w:rsid w:val="003D5744"/>
    <w:rsid w:val="003F3693"/>
    <w:rsid w:val="00400012"/>
    <w:rsid w:val="0040004D"/>
    <w:rsid w:val="004041D6"/>
    <w:rsid w:val="0041313B"/>
    <w:rsid w:val="00417DF4"/>
    <w:rsid w:val="00421551"/>
    <w:rsid w:val="00441635"/>
    <w:rsid w:val="00443DAB"/>
    <w:rsid w:val="00457619"/>
    <w:rsid w:val="00461737"/>
    <w:rsid w:val="0046474B"/>
    <w:rsid w:val="004679B6"/>
    <w:rsid w:val="004702F9"/>
    <w:rsid w:val="00480D5D"/>
    <w:rsid w:val="00482984"/>
    <w:rsid w:val="00485DAE"/>
    <w:rsid w:val="004860C0"/>
    <w:rsid w:val="00491F48"/>
    <w:rsid w:val="00495F51"/>
    <w:rsid w:val="004C03AE"/>
    <w:rsid w:val="004C6617"/>
    <w:rsid w:val="004D0595"/>
    <w:rsid w:val="004D72BC"/>
    <w:rsid w:val="004D7383"/>
    <w:rsid w:val="004E7D0C"/>
    <w:rsid w:val="004F6FB9"/>
    <w:rsid w:val="00502288"/>
    <w:rsid w:val="00505017"/>
    <w:rsid w:val="00510094"/>
    <w:rsid w:val="005103B0"/>
    <w:rsid w:val="0051463B"/>
    <w:rsid w:val="00521353"/>
    <w:rsid w:val="005228FC"/>
    <w:rsid w:val="005339C6"/>
    <w:rsid w:val="00536C82"/>
    <w:rsid w:val="00542C2C"/>
    <w:rsid w:val="00552B19"/>
    <w:rsid w:val="00552C9C"/>
    <w:rsid w:val="00593E6B"/>
    <w:rsid w:val="005B409C"/>
    <w:rsid w:val="005C05C0"/>
    <w:rsid w:val="005C0C78"/>
    <w:rsid w:val="005E4FBF"/>
    <w:rsid w:val="005E6B92"/>
    <w:rsid w:val="005E7A6D"/>
    <w:rsid w:val="005F2BAB"/>
    <w:rsid w:val="005F39E4"/>
    <w:rsid w:val="005F4FAF"/>
    <w:rsid w:val="00603ECB"/>
    <w:rsid w:val="0060415B"/>
    <w:rsid w:val="006125B5"/>
    <w:rsid w:val="00615FE0"/>
    <w:rsid w:val="00617366"/>
    <w:rsid w:val="006202EB"/>
    <w:rsid w:val="00665E1A"/>
    <w:rsid w:val="00673455"/>
    <w:rsid w:val="00675A55"/>
    <w:rsid w:val="006863EF"/>
    <w:rsid w:val="00693F07"/>
    <w:rsid w:val="006A2B91"/>
    <w:rsid w:val="006B32A1"/>
    <w:rsid w:val="006B4D65"/>
    <w:rsid w:val="006B7890"/>
    <w:rsid w:val="006C0F05"/>
    <w:rsid w:val="006C2A0B"/>
    <w:rsid w:val="006C31D7"/>
    <w:rsid w:val="006D608E"/>
    <w:rsid w:val="006E1B39"/>
    <w:rsid w:val="006F21F0"/>
    <w:rsid w:val="006F4158"/>
    <w:rsid w:val="006F4CDA"/>
    <w:rsid w:val="006F5090"/>
    <w:rsid w:val="0070007A"/>
    <w:rsid w:val="00702B5F"/>
    <w:rsid w:val="0070492B"/>
    <w:rsid w:val="007131ED"/>
    <w:rsid w:val="0072061F"/>
    <w:rsid w:val="00722596"/>
    <w:rsid w:val="007244B1"/>
    <w:rsid w:val="00730098"/>
    <w:rsid w:val="00736A4F"/>
    <w:rsid w:val="00736A8D"/>
    <w:rsid w:val="007379A8"/>
    <w:rsid w:val="007468B2"/>
    <w:rsid w:val="00753F87"/>
    <w:rsid w:val="007543FE"/>
    <w:rsid w:val="00760246"/>
    <w:rsid w:val="00771D68"/>
    <w:rsid w:val="00782C37"/>
    <w:rsid w:val="00783833"/>
    <w:rsid w:val="00784B25"/>
    <w:rsid w:val="00786636"/>
    <w:rsid w:val="007941BC"/>
    <w:rsid w:val="0079480A"/>
    <w:rsid w:val="00795940"/>
    <w:rsid w:val="00795FCE"/>
    <w:rsid w:val="00797C22"/>
    <w:rsid w:val="007A607E"/>
    <w:rsid w:val="007B0213"/>
    <w:rsid w:val="007B393F"/>
    <w:rsid w:val="007D34F9"/>
    <w:rsid w:val="007E1448"/>
    <w:rsid w:val="007F09F9"/>
    <w:rsid w:val="007F2DC1"/>
    <w:rsid w:val="007F7E25"/>
    <w:rsid w:val="00810702"/>
    <w:rsid w:val="008125C6"/>
    <w:rsid w:val="0081657D"/>
    <w:rsid w:val="008248AB"/>
    <w:rsid w:val="008310A6"/>
    <w:rsid w:val="008353F7"/>
    <w:rsid w:val="00841CD0"/>
    <w:rsid w:val="00843B86"/>
    <w:rsid w:val="008603A0"/>
    <w:rsid w:val="00874177"/>
    <w:rsid w:val="008A06F9"/>
    <w:rsid w:val="008B06FA"/>
    <w:rsid w:val="008C146C"/>
    <w:rsid w:val="008C2548"/>
    <w:rsid w:val="008C611E"/>
    <w:rsid w:val="008D5258"/>
    <w:rsid w:val="008E42BE"/>
    <w:rsid w:val="00904C1E"/>
    <w:rsid w:val="00907333"/>
    <w:rsid w:val="009211A8"/>
    <w:rsid w:val="00931AB3"/>
    <w:rsid w:val="00933DA7"/>
    <w:rsid w:val="00936247"/>
    <w:rsid w:val="00937ADF"/>
    <w:rsid w:val="009403D1"/>
    <w:rsid w:val="00962603"/>
    <w:rsid w:val="00963D6C"/>
    <w:rsid w:val="00965FB7"/>
    <w:rsid w:val="0097031A"/>
    <w:rsid w:val="00977B90"/>
    <w:rsid w:val="00984149"/>
    <w:rsid w:val="0098433E"/>
    <w:rsid w:val="00987045"/>
    <w:rsid w:val="009872AD"/>
    <w:rsid w:val="009B0DF4"/>
    <w:rsid w:val="009C1B82"/>
    <w:rsid w:val="009C2755"/>
    <w:rsid w:val="009C4808"/>
    <w:rsid w:val="009C6461"/>
    <w:rsid w:val="009F3414"/>
    <w:rsid w:val="00A01D27"/>
    <w:rsid w:val="00A04A56"/>
    <w:rsid w:val="00A17C6E"/>
    <w:rsid w:val="00A22A02"/>
    <w:rsid w:val="00A2424D"/>
    <w:rsid w:val="00A24C37"/>
    <w:rsid w:val="00A25B1A"/>
    <w:rsid w:val="00A36F48"/>
    <w:rsid w:val="00A51FC0"/>
    <w:rsid w:val="00A54DC4"/>
    <w:rsid w:val="00A55AEE"/>
    <w:rsid w:val="00A61232"/>
    <w:rsid w:val="00A63B08"/>
    <w:rsid w:val="00A63C3E"/>
    <w:rsid w:val="00A65137"/>
    <w:rsid w:val="00A70896"/>
    <w:rsid w:val="00A77E03"/>
    <w:rsid w:val="00A80E97"/>
    <w:rsid w:val="00AA2AB6"/>
    <w:rsid w:val="00AA3E83"/>
    <w:rsid w:val="00AB53FA"/>
    <w:rsid w:val="00AC2C70"/>
    <w:rsid w:val="00AD1F3E"/>
    <w:rsid w:val="00AD228B"/>
    <w:rsid w:val="00AD2E0D"/>
    <w:rsid w:val="00AE0FE1"/>
    <w:rsid w:val="00AE2D03"/>
    <w:rsid w:val="00AE4BEC"/>
    <w:rsid w:val="00AF1576"/>
    <w:rsid w:val="00AF52B0"/>
    <w:rsid w:val="00B01528"/>
    <w:rsid w:val="00B0497A"/>
    <w:rsid w:val="00B05DAA"/>
    <w:rsid w:val="00B1107C"/>
    <w:rsid w:val="00B155AE"/>
    <w:rsid w:val="00B20F65"/>
    <w:rsid w:val="00B268C0"/>
    <w:rsid w:val="00B36671"/>
    <w:rsid w:val="00B45894"/>
    <w:rsid w:val="00B758FD"/>
    <w:rsid w:val="00B76042"/>
    <w:rsid w:val="00B817CA"/>
    <w:rsid w:val="00BA6BD9"/>
    <w:rsid w:val="00BB07D2"/>
    <w:rsid w:val="00BB0A01"/>
    <w:rsid w:val="00BC07E5"/>
    <w:rsid w:val="00BD4C55"/>
    <w:rsid w:val="00BD7DBA"/>
    <w:rsid w:val="00C0751E"/>
    <w:rsid w:val="00C116BD"/>
    <w:rsid w:val="00C2172D"/>
    <w:rsid w:val="00C344B5"/>
    <w:rsid w:val="00C408AA"/>
    <w:rsid w:val="00C662F9"/>
    <w:rsid w:val="00C66916"/>
    <w:rsid w:val="00C72FA3"/>
    <w:rsid w:val="00C73887"/>
    <w:rsid w:val="00C82584"/>
    <w:rsid w:val="00C84188"/>
    <w:rsid w:val="00C92F24"/>
    <w:rsid w:val="00C94499"/>
    <w:rsid w:val="00CA212C"/>
    <w:rsid w:val="00CA3366"/>
    <w:rsid w:val="00CA3AE9"/>
    <w:rsid w:val="00CA3DDF"/>
    <w:rsid w:val="00CA6F54"/>
    <w:rsid w:val="00CC409C"/>
    <w:rsid w:val="00CC64C6"/>
    <w:rsid w:val="00CE21DB"/>
    <w:rsid w:val="00CE3D72"/>
    <w:rsid w:val="00CF2C52"/>
    <w:rsid w:val="00CF65ED"/>
    <w:rsid w:val="00CF7400"/>
    <w:rsid w:val="00D0185C"/>
    <w:rsid w:val="00D124AE"/>
    <w:rsid w:val="00D15414"/>
    <w:rsid w:val="00D22C63"/>
    <w:rsid w:val="00D26DE3"/>
    <w:rsid w:val="00D359BB"/>
    <w:rsid w:val="00D40067"/>
    <w:rsid w:val="00D40900"/>
    <w:rsid w:val="00D4139D"/>
    <w:rsid w:val="00D43391"/>
    <w:rsid w:val="00D7315B"/>
    <w:rsid w:val="00D92FC3"/>
    <w:rsid w:val="00D9537F"/>
    <w:rsid w:val="00DA14FD"/>
    <w:rsid w:val="00DB1004"/>
    <w:rsid w:val="00DE3A1D"/>
    <w:rsid w:val="00DE5318"/>
    <w:rsid w:val="00DF0521"/>
    <w:rsid w:val="00DF1261"/>
    <w:rsid w:val="00DF2735"/>
    <w:rsid w:val="00DF2A94"/>
    <w:rsid w:val="00E12C24"/>
    <w:rsid w:val="00E203AE"/>
    <w:rsid w:val="00E25F1E"/>
    <w:rsid w:val="00E323D2"/>
    <w:rsid w:val="00E33364"/>
    <w:rsid w:val="00E33653"/>
    <w:rsid w:val="00E37A15"/>
    <w:rsid w:val="00E420FA"/>
    <w:rsid w:val="00E54F76"/>
    <w:rsid w:val="00E574E6"/>
    <w:rsid w:val="00E61989"/>
    <w:rsid w:val="00E63043"/>
    <w:rsid w:val="00E93B5C"/>
    <w:rsid w:val="00E96BDF"/>
    <w:rsid w:val="00EA09DF"/>
    <w:rsid w:val="00EA0C56"/>
    <w:rsid w:val="00EA1047"/>
    <w:rsid w:val="00EA61FF"/>
    <w:rsid w:val="00EC620D"/>
    <w:rsid w:val="00EE1BC8"/>
    <w:rsid w:val="00EE3BDF"/>
    <w:rsid w:val="00EE3C5D"/>
    <w:rsid w:val="00EE6E88"/>
    <w:rsid w:val="00F000A8"/>
    <w:rsid w:val="00F07F4E"/>
    <w:rsid w:val="00F15577"/>
    <w:rsid w:val="00F17FAA"/>
    <w:rsid w:val="00F22870"/>
    <w:rsid w:val="00F2762D"/>
    <w:rsid w:val="00F2783E"/>
    <w:rsid w:val="00F36607"/>
    <w:rsid w:val="00F44094"/>
    <w:rsid w:val="00F55DA6"/>
    <w:rsid w:val="00F55F96"/>
    <w:rsid w:val="00F57EBB"/>
    <w:rsid w:val="00F75948"/>
    <w:rsid w:val="00F96414"/>
    <w:rsid w:val="00FA3B35"/>
    <w:rsid w:val="00FA7DA7"/>
    <w:rsid w:val="00FC2AF3"/>
    <w:rsid w:val="00FD3BED"/>
    <w:rsid w:val="00FE48AE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B90"/>
    <w:rPr>
      <w:sz w:val="24"/>
      <w:szCs w:val="24"/>
    </w:rPr>
  </w:style>
  <w:style w:type="paragraph" w:styleId="1">
    <w:name w:val="heading 1"/>
    <w:basedOn w:val="a"/>
    <w:next w:val="a"/>
    <w:qFormat/>
    <w:rsid w:val="00977B90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977B9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977B9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977B90"/>
    <w:pPr>
      <w:keepNext/>
      <w:jc w:val="center"/>
      <w:outlineLvl w:val="3"/>
    </w:pPr>
    <w:rPr>
      <w:b/>
      <w:spacing w:val="20"/>
      <w:sz w:val="22"/>
    </w:rPr>
  </w:style>
  <w:style w:type="paragraph" w:styleId="5">
    <w:name w:val="heading 5"/>
    <w:basedOn w:val="a"/>
    <w:next w:val="a"/>
    <w:qFormat/>
    <w:rsid w:val="00977B90"/>
    <w:pPr>
      <w:keepNext/>
      <w:jc w:val="center"/>
      <w:outlineLvl w:val="4"/>
    </w:pPr>
    <w:rPr>
      <w:b/>
      <w:spacing w:val="60"/>
      <w:sz w:val="36"/>
    </w:rPr>
  </w:style>
  <w:style w:type="paragraph" w:styleId="6">
    <w:name w:val="heading 6"/>
    <w:basedOn w:val="a"/>
    <w:next w:val="a"/>
    <w:qFormat/>
    <w:rsid w:val="00977B90"/>
    <w:pPr>
      <w:keepNext/>
      <w:outlineLvl w:val="5"/>
    </w:pPr>
    <w:rPr>
      <w:b/>
      <w:spacing w:val="60"/>
      <w:sz w:val="36"/>
    </w:rPr>
  </w:style>
  <w:style w:type="paragraph" w:styleId="7">
    <w:name w:val="heading 7"/>
    <w:basedOn w:val="a"/>
    <w:next w:val="a"/>
    <w:qFormat/>
    <w:rsid w:val="00977B90"/>
    <w:pPr>
      <w:keepNext/>
      <w:outlineLvl w:val="6"/>
    </w:pPr>
    <w:rPr>
      <w:b/>
      <w:spacing w:val="40"/>
      <w:sz w:val="28"/>
    </w:rPr>
  </w:style>
  <w:style w:type="paragraph" w:styleId="8">
    <w:name w:val="heading 8"/>
    <w:basedOn w:val="a"/>
    <w:next w:val="a"/>
    <w:qFormat/>
    <w:rsid w:val="00977B90"/>
    <w:pPr>
      <w:keepNext/>
      <w:ind w:left="180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1E36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7B90"/>
    <w:pPr>
      <w:ind w:firstLine="705"/>
    </w:pPr>
  </w:style>
  <w:style w:type="paragraph" w:styleId="20">
    <w:name w:val="Body Text Indent 2"/>
    <w:basedOn w:val="a"/>
    <w:rsid w:val="00977B90"/>
    <w:pPr>
      <w:ind w:firstLine="900"/>
      <w:jc w:val="both"/>
    </w:pPr>
  </w:style>
  <w:style w:type="paragraph" w:styleId="30">
    <w:name w:val="Body Text Indent 3"/>
    <w:basedOn w:val="a"/>
    <w:link w:val="31"/>
    <w:rsid w:val="00977B90"/>
    <w:pPr>
      <w:ind w:firstLine="720"/>
      <w:jc w:val="both"/>
    </w:pPr>
  </w:style>
  <w:style w:type="paragraph" w:styleId="a4">
    <w:name w:val="header"/>
    <w:basedOn w:val="a"/>
    <w:rsid w:val="00977B9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77B90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977B90"/>
    <w:pPr>
      <w:shd w:val="clear" w:color="auto" w:fill="000080"/>
    </w:pPr>
    <w:rPr>
      <w:rFonts w:ascii="Tahoma" w:hAnsi="Tahoma" w:cs="Tahoma"/>
    </w:rPr>
  </w:style>
  <w:style w:type="character" w:styleId="a7">
    <w:name w:val="page number"/>
    <w:basedOn w:val="a0"/>
    <w:rsid w:val="00977B90"/>
  </w:style>
  <w:style w:type="paragraph" w:styleId="a8">
    <w:name w:val="Body Text"/>
    <w:basedOn w:val="a"/>
    <w:rsid w:val="00977B90"/>
    <w:pPr>
      <w:spacing w:after="120"/>
    </w:pPr>
  </w:style>
  <w:style w:type="paragraph" w:customStyle="1" w:styleId="western">
    <w:name w:val="western"/>
    <w:basedOn w:val="a"/>
    <w:rsid w:val="00977B90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7941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941B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409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"/>
    <w:basedOn w:val="a0"/>
    <w:link w:val="30"/>
    <w:rsid w:val="00931AB3"/>
    <w:rPr>
      <w:sz w:val="24"/>
      <w:szCs w:val="24"/>
    </w:rPr>
  </w:style>
  <w:style w:type="paragraph" w:customStyle="1" w:styleId="FIO">
    <w:name w:val="FIO"/>
    <w:basedOn w:val="a"/>
    <w:autoRedefine/>
    <w:rsid w:val="00D9537F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72;&#1084;&#1072;\Desktop\&#1056;&#1072;&#1073;&#1086;&#1090;&#1072;\&#1054;&#1058;&#1063;&#1045;&#1058;&#1067;%202016\4%20&#1082;&#1074;&#1072;&#1088;&#1090;&#1072;&#1083;\&#1044;-&#1058;&#1077;&#1084;&#1072;&#1090;&#1080;&#1082;&#1072;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roundedCorners val="1"/>
  <c:chart>
    <c:autoTitleDeleted val="1"/>
    <c:plotArea>
      <c:layout>
        <c:manualLayout>
          <c:layoutTarget val="inner"/>
          <c:xMode val="edge"/>
          <c:yMode val="edge"/>
          <c:x val="8.9634276310035343E-2"/>
          <c:y val="8.7258999570988746E-2"/>
          <c:w val="0.88879611882984078"/>
          <c:h val="0.7233258889474756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41275" cap="sq">
              <a:solidFill>
                <a:schemeClr val="accent4">
                  <a:lumMod val="75000"/>
                </a:schemeClr>
              </a:solidFill>
              <a:miter lim="800000"/>
            </a:ln>
          </c:spPr>
          <c:marker>
            <c:symbol val="diamond"/>
            <c:size val="12"/>
            <c:spPr>
              <a:solidFill>
                <a:srgbClr val="8064A2">
                  <a:lumMod val="75000"/>
                </a:srgbClr>
              </a:solidFill>
              <a:ln w="41275" cap="rnd"/>
            </c:spPr>
          </c:marker>
          <c:dLbls>
            <c:dLbl>
              <c:idx val="0"/>
              <c:layout>
                <c:manualLayout>
                  <c:x val="-0.11010225942531558"/>
                  <c:y val="-8.4326955836499188E-3"/>
                </c:manualLayout>
              </c:layout>
              <c:showVal val="1"/>
            </c:dLbl>
            <c:dLbl>
              <c:idx val="1"/>
              <c:layout>
                <c:manualLayout>
                  <c:x val="-6.6961224813877299E-2"/>
                  <c:y val="-8.8789428213843363E-2"/>
                </c:manualLayout>
              </c:layout>
              <c:showVal val="1"/>
            </c:dLbl>
            <c:dLbl>
              <c:idx val="2"/>
              <c:layout>
                <c:manualLayout>
                  <c:x val="-5.1850612653205709E-2"/>
                  <c:y val="-9.5595832175124087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5.1999998180227526E-2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 i="1" baseline="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7157</c:v>
                </c:pt>
                <c:pt idx="1">
                  <c:v>11033</c:v>
                </c:pt>
                <c:pt idx="2">
                  <c:v>15704</c:v>
                </c:pt>
                <c:pt idx="3">
                  <c:v>18388</c:v>
                </c:pt>
              </c:numCache>
            </c:numRef>
          </c:val>
        </c:ser>
        <c:marker val="1"/>
        <c:axId val="108822912"/>
        <c:axId val="108824832"/>
      </c:lineChart>
      <c:catAx>
        <c:axId val="108822912"/>
        <c:scaling>
          <c:orientation val="minMax"/>
        </c:scaling>
        <c:axPos val="b"/>
        <c:numFmt formatCode="@" sourceLinked="0"/>
        <c:tickLblPos val="nextTo"/>
        <c:txPr>
          <a:bodyPr/>
          <a:lstStyle/>
          <a:p>
            <a:pPr>
              <a:defRPr sz="1200" b="1" i="0" baseline="0"/>
            </a:pPr>
            <a:endParaRPr lang="ru-RU"/>
          </a:p>
        </c:txPr>
        <c:crossAx val="108824832"/>
        <c:crosses val="autoZero"/>
        <c:auto val="1"/>
        <c:lblAlgn val="ctr"/>
        <c:lblOffset val="100"/>
      </c:catAx>
      <c:valAx>
        <c:axId val="108824832"/>
        <c:scaling>
          <c:orientation val="minMax"/>
        </c:scaling>
        <c:axPos val="l"/>
        <c:majorGridlines/>
        <c:numFmt formatCode="General" sourceLinked="1"/>
        <c:tickLblPos val="nextTo"/>
        <c:crossAx val="108822912"/>
        <c:crosses val="autoZero"/>
        <c:crossBetween val="between"/>
        <c:majorUnit val="5000"/>
      </c:valAx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  <a:ln>
          <a:solidFill>
            <a:schemeClr val="tx1"/>
          </a:solidFill>
        </a:ln>
      </c:spPr>
    </c:plotArea>
    <c:plotVisOnly val="1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plotArea>
      <c:layout>
        <c:manualLayout>
          <c:layoutTarget val="inner"/>
          <c:xMode val="edge"/>
          <c:yMode val="edge"/>
          <c:x val="6.809409142571124E-2"/>
          <c:y val="3.5499663261516781E-2"/>
          <c:w val="0.88122699601808363"/>
          <c:h val="0.5290261019530831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2015 год</c:v>
                </c:pt>
              </c:strCache>
            </c:strRef>
          </c:tx>
          <c:spPr>
            <a:gradFill flip="none" rotWithShape="1">
              <a:gsLst>
                <a:gs pos="0">
                  <a:srgbClr val="3399FF"/>
                </a:gs>
                <a:gs pos="16000">
                  <a:srgbClr val="00CCCC"/>
                </a:gs>
                <a:gs pos="47000">
                  <a:srgbClr val="9999FF"/>
                </a:gs>
                <a:gs pos="60001">
                  <a:srgbClr val="2E6792"/>
                </a:gs>
                <a:gs pos="71001">
                  <a:srgbClr val="3333CC"/>
                </a:gs>
                <a:gs pos="81000">
                  <a:srgbClr val="1170FF"/>
                </a:gs>
                <a:gs pos="100000">
                  <a:srgbClr val="006699"/>
                </a:gs>
              </a:gsLst>
              <a:lin ang="2700000" scaled="0"/>
              <a:tileRect/>
            </a:gradFill>
          </c:spPr>
          <c:dLbls>
            <c:dLbl>
              <c:idx val="1"/>
              <c:layout>
                <c:manualLayout>
                  <c:x val="-1.068947087119185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1.282736504543025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6.4136825227151277E-3"/>
                  <c:y val="3.6194400982663744E-3"/>
                </c:manualLayout>
              </c:layout>
              <c:showVal val="1"/>
            </c:dLbl>
            <c:dLbl>
              <c:idx val="7"/>
              <c:layout>
                <c:manualLayout>
                  <c:x val="-8.5515766969535018E-3"/>
                  <c:y val="3.6194400982663744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Лист1!$A$4:$A$12</c:f>
              <c:strCache>
                <c:ptCount val="9"/>
                <c:pt idx="0">
                  <c:v>тех.сост.</c:v>
                </c:pt>
                <c:pt idx="1">
                  <c:v>услуги</c:v>
                </c:pt>
                <c:pt idx="2">
                  <c:v>Качество капремонта</c:v>
                </c:pt>
                <c:pt idx="3">
                  <c:v>перепланировка</c:v>
                </c:pt>
                <c:pt idx="4">
                  <c:v>перепланировка МОП и нежилых </c:v>
                </c:pt>
                <c:pt idx="5">
                  <c:v>оплата в Фонд КР</c:v>
                </c:pt>
                <c:pt idx="6">
                  <c:v>Оплата</c:v>
                </c:pt>
                <c:pt idx="7">
                  <c:v>Управление</c:v>
                </c:pt>
                <c:pt idx="8">
                  <c:v>Не в компетенции</c:v>
                </c:pt>
              </c:strCache>
            </c:strRef>
          </c:cat>
          <c:val>
            <c:numRef>
              <c:f>Лист1!$B$4:$B$12</c:f>
              <c:numCache>
                <c:formatCode>General</c:formatCode>
                <c:ptCount val="9"/>
                <c:pt idx="0">
                  <c:v>4680</c:v>
                </c:pt>
                <c:pt idx="1">
                  <c:v>1814</c:v>
                </c:pt>
                <c:pt idx="2">
                  <c:v>31</c:v>
                </c:pt>
                <c:pt idx="3">
                  <c:v>102</c:v>
                </c:pt>
                <c:pt idx="4">
                  <c:v>170</c:v>
                </c:pt>
                <c:pt idx="5">
                  <c:v>1478</c:v>
                </c:pt>
                <c:pt idx="6">
                  <c:v>5634</c:v>
                </c:pt>
                <c:pt idx="7">
                  <c:v>1333</c:v>
                </c:pt>
                <c:pt idx="8">
                  <c:v>462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2016 год</c:v>
                </c:pt>
              </c:strCache>
            </c:strRef>
          </c:tx>
          <c:spPr>
            <a:gradFill flip="none" rotWithShape="1">
              <a:gsLst>
                <a:gs pos="0">
                  <a:srgbClr val="FFFF00"/>
                </a:gs>
                <a:gs pos="45000">
                  <a:srgbClr val="FF7A00"/>
                </a:gs>
                <a:gs pos="70000">
                  <a:srgbClr val="FF0300"/>
                </a:gs>
                <a:gs pos="100000">
                  <a:srgbClr val="4D0808"/>
                </a:gs>
              </a:gsLst>
              <a:path path="rect">
                <a:fillToRect l="100000" t="100000"/>
              </a:path>
              <a:tileRect r="-100000" b="-100000"/>
            </a:gradFill>
          </c:spPr>
          <c:dLbls>
            <c:dLbl>
              <c:idx val="3"/>
              <c:layout>
                <c:manualLayout>
                  <c:x val="1.3961603666075283E-2"/>
                  <c:y val="-6.3948840927258175E-3"/>
                </c:manualLayout>
              </c:layout>
              <c:showVal val="1"/>
            </c:dLbl>
            <c:dLbl>
              <c:idx val="4"/>
              <c:layout>
                <c:manualLayout>
                  <c:x val="1.0471202749556451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2.0942405499112901E-2"/>
                  <c:y val="-1.4654773419303643E-17"/>
                </c:manualLayout>
              </c:layout>
              <c:showVal val="1"/>
            </c:dLbl>
            <c:dLbl>
              <c:idx val="7"/>
              <c:layout>
                <c:manualLayout>
                  <c:x val="1.5706804124334679E-2"/>
                  <c:y val="5.8619093677214547E-17"/>
                </c:manualLayout>
              </c:layout>
              <c:showVal val="1"/>
            </c:dLbl>
            <c:dLbl>
              <c:idx val="8"/>
              <c:layout>
                <c:manualLayout>
                  <c:x val="2.0942405499112901E-2"/>
                  <c:y val="-3.1974420463629126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i="1" baseline="0"/>
                </a:pPr>
                <a:endParaRPr lang="ru-RU"/>
              </a:p>
            </c:txPr>
            <c:showVal val="1"/>
          </c:dLbls>
          <c:cat>
            <c:strRef>
              <c:f>Лист1!$A$4:$A$12</c:f>
              <c:strCache>
                <c:ptCount val="9"/>
                <c:pt idx="0">
                  <c:v>тех.сост.</c:v>
                </c:pt>
                <c:pt idx="1">
                  <c:v>услуги</c:v>
                </c:pt>
                <c:pt idx="2">
                  <c:v>Качество капремонта</c:v>
                </c:pt>
                <c:pt idx="3">
                  <c:v>перепланировка</c:v>
                </c:pt>
                <c:pt idx="4">
                  <c:v>перепланировка МОП и нежилых </c:v>
                </c:pt>
                <c:pt idx="5">
                  <c:v>оплата в Фонд КР</c:v>
                </c:pt>
                <c:pt idx="6">
                  <c:v>Оплата</c:v>
                </c:pt>
                <c:pt idx="7">
                  <c:v>Управление</c:v>
                </c:pt>
                <c:pt idx="8">
                  <c:v>Не в компетенции</c:v>
                </c:pt>
              </c:strCache>
            </c: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6794</c:v>
                </c:pt>
                <c:pt idx="1">
                  <c:v>3591</c:v>
                </c:pt>
                <c:pt idx="2">
                  <c:v>205</c:v>
                </c:pt>
                <c:pt idx="3">
                  <c:v>135</c:v>
                </c:pt>
                <c:pt idx="4">
                  <c:v>328</c:v>
                </c:pt>
                <c:pt idx="5">
                  <c:v>183</c:v>
                </c:pt>
                <c:pt idx="6">
                  <c:v>5183</c:v>
                </c:pt>
                <c:pt idx="7">
                  <c:v>1416</c:v>
                </c:pt>
                <c:pt idx="8">
                  <c:v>553</c:v>
                </c:pt>
              </c:numCache>
            </c:numRef>
          </c:val>
        </c:ser>
        <c:axId val="109441024"/>
        <c:axId val="109442944"/>
      </c:barChart>
      <c:catAx>
        <c:axId val="109441024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 baseline="0"/>
            </a:pPr>
            <a:endParaRPr lang="ru-RU"/>
          </a:p>
        </c:txPr>
        <c:crossAx val="109442944"/>
        <c:crosses val="autoZero"/>
        <c:auto val="1"/>
        <c:lblAlgn val="ctr"/>
        <c:lblOffset val="100"/>
      </c:catAx>
      <c:valAx>
        <c:axId val="109442944"/>
        <c:scaling>
          <c:orientation val="minMax"/>
          <c:max val="7000"/>
        </c:scaling>
        <c:axPos val="l"/>
        <c:majorGridlines/>
        <c:numFmt formatCode="General" sourceLinked="1"/>
        <c:tickLblPos val="nextTo"/>
        <c:crossAx val="109441024"/>
        <c:crosses val="autoZero"/>
        <c:crossBetween val="between"/>
        <c:majorUnit val="1000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67416832609579058"/>
          <c:y val="0.84961800638229634"/>
          <c:w val="0.10633972975600278"/>
          <c:h val="0.10765397848585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  <a:ln>
      <a:solidFill>
        <a:schemeClr val="tx1"/>
      </a:solidFill>
    </a:ln>
    <a:scene3d>
      <a:camera prst="orthographicFront"/>
      <a:lightRig rig="threePt" dir="t"/>
    </a:scene3d>
    <a:sp3d>
      <a:bevelT w="12700"/>
      <a:bevelB w="12700"/>
    </a:sp3d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2.3041490674592834E-2"/>
          <c:y val="5.3240740740740741E-2"/>
          <c:w val="0.75746119483408969"/>
          <c:h val="0.90740740740740744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23E957"/>
              </a:solidFill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rgbClr val="E824CC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Pt>
            <c:idx val="4"/>
            <c:spPr>
              <a:solidFill>
                <a:srgbClr val="3382F7"/>
              </a:solidFill>
            </c:spPr>
          </c:dPt>
          <c:dPt>
            <c:idx val="6"/>
            <c:spPr>
              <a:solidFill>
                <a:srgbClr val="FF0000"/>
              </a:solidFill>
            </c:spPr>
          </c:dPt>
          <c:dLbls>
            <c:dLbl>
              <c:idx val="1"/>
              <c:layout>
                <c:manualLayout>
                  <c:x val="0"/>
                  <c:y val="0.119877515310586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17; 0</a:t>
                    </a:r>
                    <a:r>
                      <a:rPr lang="ru-RU"/>
                      <a:t>,02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2"/>
              <c:layout>
                <c:manualLayout>
                  <c:x val="0"/>
                  <c:y val="-6.3021289005540979E-2"/>
                </c:manualLayout>
              </c:layout>
              <c:showVal val="1"/>
              <c:showPercent val="1"/>
            </c:dLbl>
            <c:dLbl>
              <c:idx val="4"/>
              <c:layout>
                <c:manualLayout>
                  <c:x val="-1.1572978046618365E-2"/>
                  <c:y val="-8.821449402158071E-3"/>
                </c:manualLayout>
              </c:layout>
              <c:showVal val="1"/>
              <c:showPercent val="1"/>
            </c:dLbl>
            <c:dLbl>
              <c:idx val="5"/>
              <c:layout>
                <c:manualLayout>
                  <c:x val="-1.7567224626722985E-2"/>
                  <c:y val="-2.7012248468941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showPercent val="1"/>
            </c:dLbl>
            <c:dLbl>
              <c:idx val="6"/>
              <c:layout>
                <c:manualLayout>
                  <c:x val="4.8661591142166831E-2"/>
                  <c:y val="2.7777777777777821E-2"/>
                </c:manualLayout>
              </c:layout>
              <c:showVal val="1"/>
              <c:showPercent val="1"/>
            </c:dLbl>
            <c:txPr>
              <a:bodyPr/>
              <a:lstStyle/>
              <a:p>
                <a:pPr>
                  <a:defRPr sz="1100" b="1" i="1" baseline="0"/>
                </a:pPr>
                <a:endParaRPr lang="ru-RU"/>
              </a:p>
            </c:txPr>
            <c:showVal val="1"/>
            <c:showPercent val="1"/>
            <c:showLeaderLines val="1"/>
          </c:dLbls>
          <c:cat>
            <c:strRef>
              <c:f>Лист1!$A$21:$A$27</c:f>
              <c:strCache>
                <c:ptCount val="7"/>
                <c:pt idx="0">
                  <c:v>тех.сост.</c:v>
                </c:pt>
                <c:pt idx="1">
                  <c:v>перепланировка</c:v>
                </c:pt>
                <c:pt idx="2">
                  <c:v>услуги</c:v>
                </c:pt>
                <c:pt idx="3">
                  <c:v>раскрытие инф</c:v>
                </c:pt>
                <c:pt idx="4">
                  <c:v>оплата</c:v>
                </c:pt>
                <c:pt idx="5">
                  <c:v>ВДГО</c:v>
                </c:pt>
                <c:pt idx="6">
                  <c:v>Управление</c:v>
                </c:pt>
              </c:strCache>
            </c:strRef>
          </c:cat>
          <c:val>
            <c:numRef>
              <c:f>Лист1!$B$21:$B$27</c:f>
              <c:numCache>
                <c:formatCode>General</c:formatCode>
                <c:ptCount val="7"/>
                <c:pt idx="0">
                  <c:v>3152</c:v>
                </c:pt>
                <c:pt idx="1">
                  <c:v>17</c:v>
                </c:pt>
                <c:pt idx="2">
                  <c:v>615</c:v>
                </c:pt>
                <c:pt idx="3">
                  <c:v>58</c:v>
                </c:pt>
                <c:pt idx="4">
                  <c:v>497</c:v>
                </c:pt>
                <c:pt idx="5">
                  <c:v>1</c:v>
                </c:pt>
                <c:pt idx="6">
                  <c:v>69</c:v>
                </c:pt>
              </c:numCache>
            </c:numRef>
          </c:val>
        </c:ser>
      </c:pie3DChart>
    </c:plotArea>
    <c:legend>
      <c:legendPos val="r"/>
    </c:legend>
    <c:plotVisOnly val="1"/>
  </c:chart>
  <c:spPr>
    <a:gradFill>
      <a:gsLst>
        <a:gs pos="0">
          <a:srgbClr val="8488C4"/>
        </a:gs>
        <a:gs pos="53000">
          <a:srgbClr val="D4DEFF"/>
        </a:gs>
        <a:gs pos="83000">
          <a:srgbClr val="D4DEFF"/>
        </a:gs>
        <a:gs pos="100000">
          <a:srgbClr val="96AB94"/>
        </a:gs>
      </a:gsLst>
      <a:lin ang="5400000" scaled="0"/>
    </a:gradFill>
    <a:ln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ДМИНИСТРАЦИЯ ВОРОНЕЖСКОЙ ОБЛАСТИ</vt:lpstr>
    </vt:vector>
  </TitlesOfParts>
  <Company>Госжилинспекция Воронежской области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ДМИНИСТРАЦИЯ ВОРОНЕЖСКОЙ ОБЛАСТИ</dc:title>
  <dc:creator>Кравченко О. В.</dc:creator>
  <cp:lastModifiedBy>Мама</cp:lastModifiedBy>
  <cp:revision>27</cp:revision>
  <cp:lastPrinted>2016-10-04T11:31:00Z</cp:lastPrinted>
  <dcterms:created xsi:type="dcterms:W3CDTF">2016-04-03T19:02:00Z</dcterms:created>
  <dcterms:modified xsi:type="dcterms:W3CDTF">2017-01-06T18:50:00Z</dcterms:modified>
</cp:coreProperties>
</file>