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7A" w:rsidRDefault="001E3697" w:rsidP="001E3697">
      <w:pPr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344D7B">
        <w:rPr>
          <w:b/>
          <w:sz w:val="28"/>
          <w:szCs w:val="28"/>
        </w:rPr>
        <w:t xml:space="preserve">Рассмотрение обращений граждан </w:t>
      </w:r>
    </w:p>
    <w:p w:rsidR="001E3697" w:rsidRPr="00344D7B" w:rsidRDefault="001E3697" w:rsidP="001E3697">
      <w:pPr>
        <w:ind w:left="360"/>
        <w:jc w:val="center"/>
        <w:rPr>
          <w:b/>
          <w:sz w:val="28"/>
          <w:szCs w:val="28"/>
        </w:rPr>
      </w:pPr>
      <w:r w:rsidRPr="00344D7B">
        <w:rPr>
          <w:b/>
          <w:sz w:val="28"/>
          <w:szCs w:val="28"/>
        </w:rPr>
        <w:t>и принятие мер по удовлетворению</w:t>
      </w:r>
      <w:r w:rsidR="006D608E">
        <w:rPr>
          <w:b/>
          <w:sz w:val="28"/>
          <w:szCs w:val="28"/>
        </w:rPr>
        <w:t xml:space="preserve"> законных требований заявителей</w:t>
      </w:r>
    </w:p>
    <w:p w:rsidR="001E3697" w:rsidRPr="00344D7B" w:rsidRDefault="001E3697" w:rsidP="001E3697">
      <w:pPr>
        <w:jc w:val="center"/>
        <w:rPr>
          <w:b/>
          <w:sz w:val="28"/>
          <w:szCs w:val="28"/>
        </w:rPr>
      </w:pPr>
    </w:p>
    <w:p w:rsidR="00693F07" w:rsidRDefault="00693F07" w:rsidP="00693F07">
      <w:pPr>
        <w:pStyle w:val="30"/>
        <w:spacing w:line="276" w:lineRule="auto"/>
        <w:rPr>
          <w:sz w:val="28"/>
          <w:szCs w:val="28"/>
        </w:rPr>
      </w:pPr>
    </w:p>
    <w:p w:rsidR="00693F07" w:rsidRDefault="00693F07" w:rsidP="00693F07">
      <w:pPr>
        <w:pStyle w:val="30"/>
        <w:spacing w:line="276" w:lineRule="auto"/>
        <w:rPr>
          <w:sz w:val="28"/>
          <w:szCs w:val="28"/>
        </w:rPr>
      </w:pPr>
    </w:p>
    <w:p w:rsidR="00E96BDF" w:rsidRPr="00A6587A" w:rsidRDefault="00D7315B" w:rsidP="00E96BDF">
      <w:pPr>
        <w:pStyle w:val="3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96BDF">
        <w:rPr>
          <w:sz w:val="28"/>
          <w:szCs w:val="28"/>
        </w:rPr>
        <w:t xml:space="preserve">2015 г. в инспекцию поступило </w:t>
      </w:r>
      <w:r w:rsidR="00027278">
        <w:rPr>
          <w:sz w:val="28"/>
          <w:szCs w:val="28"/>
        </w:rPr>
        <w:t>15704</w:t>
      </w:r>
      <w:r w:rsidR="00E96BDF">
        <w:rPr>
          <w:sz w:val="28"/>
          <w:szCs w:val="28"/>
        </w:rPr>
        <w:t xml:space="preserve"> обращений граждан и организаций. </w:t>
      </w:r>
      <w:r w:rsidR="00E96BDF" w:rsidRPr="00A6587A">
        <w:rPr>
          <w:sz w:val="28"/>
          <w:szCs w:val="28"/>
        </w:rPr>
        <w:t>По сравнению с 201</w:t>
      </w:r>
      <w:r w:rsidR="00E96BDF">
        <w:rPr>
          <w:sz w:val="28"/>
          <w:szCs w:val="28"/>
        </w:rPr>
        <w:t>4</w:t>
      </w:r>
      <w:r w:rsidR="00E96BDF" w:rsidRPr="00A6587A">
        <w:rPr>
          <w:sz w:val="28"/>
          <w:szCs w:val="28"/>
        </w:rPr>
        <w:t xml:space="preserve"> г. количество обращений возросло в </w:t>
      </w:r>
      <w:r w:rsidR="00E96BDF">
        <w:rPr>
          <w:sz w:val="28"/>
          <w:szCs w:val="28"/>
        </w:rPr>
        <w:t>1,</w:t>
      </w:r>
      <w:r w:rsidR="00027278">
        <w:rPr>
          <w:sz w:val="28"/>
          <w:szCs w:val="28"/>
        </w:rPr>
        <w:t>4</w:t>
      </w:r>
      <w:r w:rsidR="00E96BDF" w:rsidRPr="00A6587A">
        <w:rPr>
          <w:sz w:val="28"/>
          <w:szCs w:val="28"/>
        </w:rPr>
        <w:t xml:space="preserve"> раза (с </w:t>
      </w:r>
      <w:r w:rsidR="00027278">
        <w:rPr>
          <w:sz w:val="28"/>
          <w:szCs w:val="28"/>
        </w:rPr>
        <w:t>11033</w:t>
      </w:r>
      <w:r w:rsidR="00E96BDF" w:rsidRPr="00A6587A">
        <w:rPr>
          <w:sz w:val="28"/>
          <w:szCs w:val="28"/>
        </w:rPr>
        <w:t xml:space="preserve"> до </w:t>
      </w:r>
      <w:r w:rsidR="00027278">
        <w:rPr>
          <w:sz w:val="28"/>
          <w:szCs w:val="28"/>
        </w:rPr>
        <w:t>15704</w:t>
      </w:r>
      <w:r w:rsidR="00E96BDF" w:rsidRPr="00A6587A">
        <w:rPr>
          <w:sz w:val="28"/>
          <w:szCs w:val="28"/>
        </w:rPr>
        <w:t xml:space="preserve">), в </w:t>
      </w:r>
      <w:r w:rsidR="00027278">
        <w:rPr>
          <w:sz w:val="28"/>
          <w:szCs w:val="28"/>
        </w:rPr>
        <w:t>2,2</w:t>
      </w:r>
      <w:r w:rsidR="00E96BDF" w:rsidRPr="00A6587A">
        <w:rPr>
          <w:sz w:val="28"/>
          <w:szCs w:val="28"/>
        </w:rPr>
        <w:t xml:space="preserve"> раза превышены показатели 201</w:t>
      </w:r>
      <w:r w:rsidR="00E96BDF">
        <w:rPr>
          <w:sz w:val="28"/>
          <w:szCs w:val="28"/>
        </w:rPr>
        <w:t>3</w:t>
      </w:r>
      <w:r w:rsidR="00E96BDF" w:rsidRPr="00A6587A">
        <w:rPr>
          <w:sz w:val="28"/>
          <w:szCs w:val="28"/>
        </w:rPr>
        <w:t xml:space="preserve"> г. (с </w:t>
      </w:r>
      <w:r w:rsidR="00027278">
        <w:rPr>
          <w:sz w:val="28"/>
          <w:szCs w:val="28"/>
        </w:rPr>
        <w:t>7157</w:t>
      </w:r>
      <w:r w:rsidR="00E96BDF" w:rsidRPr="00A6587A">
        <w:rPr>
          <w:sz w:val="28"/>
          <w:szCs w:val="28"/>
        </w:rPr>
        <w:t xml:space="preserve"> до </w:t>
      </w:r>
      <w:r w:rsidR="00027278">
        <w:rPr>
          <w:sz w:val="28"/>
          <w:szCs w:val="28"/>
        </w:rPr>
        <w:t>15704</w:t>
      </w:r>
      <w:r w:rsidR="00E96BDF" w:rsidRPr="00A6587A">
        <w:rPr>
          <w:sz w:val="28"/>
          <w:szCs w:val="28"/>
        </w:rPr>
        <w:t xml:space="preserve">). </w:t>
      </w:r>
    </w:p>
    <w:p w:rsidR="00482984" w:rsidRDefault="00482984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>Динамика роста числа обращений наглядно иллюстрируется следующим графиком:</w:t>
      </w:r>
    </w:p>
    <w:p w:rsidR="002C45FD" w:rsidRPr="00257DB2" w:rsidRDefault="002C45FD" w:rsidP="00693F07">
      <w:pPr>
        <w:pStyle w:val="30"/>
        <w:spacing w:line="276" w:lineRule="auto"/>
        <w:rPr>
          <w:sz w:val="28"/>
          <w:szCs w:val="28"/>
        </w:rPr>
      </w:pPr>
    </w:p>
    <w:p w:rsidR="00344D7B" w:rsidRPr="00344D7B" w:rsidRDefault="00E96BDF" w:rsidP="00E96BDF">
      <w:pPr>
        <w:pStyle w:val="30"/>
        <w:spacing w:line="264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6859" cy="2588016"/>
            <wp:effectExtent l="19050" t="0" r="25791" b="2784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2061F" w:rsidRPr="00F15577" w:rsidRDefault="0072061F" w:rsidP="00203903">
      <w:pPr>
        <w:pStyle w:val="30"/>
        <w:ind w:firstLine="0"/>
        <w:rPr>
          <w:szCs w:val="26"/>
        </w:rPr>
      </w:pPr>
    </w:p>
    <w:p w:rsidR="00A22A02" w:rsidRPr="00257DB2" w:rsidRDefault="00A22A02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>Наибольшее количество обращений получено от граждан, проживающих на территории областного центра (</w:t>
      </w:r>
      <w:r w:rsidR="00027278">
        <w:rPr>
          <w:sz w:val="28"/>
          <w:szCs w:val="28"/>
        </w:rPr>
        <w:t>13224</w:t>
      </w:r>
      <w:r w:rsidRPr="00257DB2">
        <w:rPr>
          <w:sz w:val="28"/>
          <w:szCs w:val="28"/>
        </w:rPr>
        <w:t xml:space="preserve"> или </w:t>
      </w:r>
      <w:r w:rsidR="00027278">
        <w:rPr>
          <w:sz w:val="28"/>
          <w:szCs w:val="28"/>
        </w:rPr>
        <w:t>84</w:t>
      </w:r>
      <w:r w:rsidRPr="00257DB2">
        <w:rPr>
          <w:sz w:val="28"/>
          <w:szCs w:val="28"/>
        </w:rPr>
        <w:t xml:space="preserve">% от общего числа обращений). Из муниципальных районов области поступило </w:t>
      </w:r>
      <w:r w:rsidR="00027278">
        <w:rPr>
          <w:sz w:val="28"/>
          <w:szCs w:val="28"/>
        </w:rPr>
        <w:t>2482</w:t>
      </w:r>
      <w:r w:rsidRPr="00257DB2">
        <w:rPr>
          <w:sz w:val="28"/>
          <w:szCs w:val="28"/>
        </w:rPr>
        <w:t xml:space="preserve"> обращени</w:t>
      </w:r>
      <w:r w:rsidR="00027278">
        <w:rPr>
          <w:sz w:val="28"/>
          <w:szCs w:val="28"/>
        </w:rPr>
        <w:t>я</w:t>
      </w:r>
      <w:r w:rsidRPr="00257DB2">
        <w:rPr>
          <w:sz w:val="28"/>
          <w:szCs w:val="28"/>
        </w:rPr>
        <w:t xml:space="preserve"> (</w:t>
      </w:r>
      <w:r w:rsidR="00027278">
        <w:rPr>
          <w:sz w:val="28"/>
          <w:szCs w:val="28"/>
        </w:rPr>
        <w:t>16</w:t>
      </w:r>
      <w:r w:rsidRPr="00257DB2">
        <w:rPr>
          <w:sz w:val="28"/>
          <w:szCs w:val="28"/>
        </w:rPr>
        <w:t xml:space="preserve">%). </w:t>
      </w:r>
      <w:r w:rsidR="00D7315B">
        <w:rPr>
          <w:sz w:val="28"/>
          <w:szCs w:val="28"/>
        </w:rPr>
        <w:t>Около</w:t>
      </w:r>
      <w:r w:rsidRPr="00257DB2">
        <w:rPr>
          <w:sz w:val="28"/>
          <w:szCs w:val="28"/>
        </w:rPr>
        <w:t xml:space="preserve"> половин</w:t>
      </w:r>
      <w:r w:rsidR="00C82584" w:rsidRPr="00257DB2">
        <w:rPr>
          <w:sz w:val="28"/>
          <w:szCs w:val="28"/>
        </w:rPr>
        <w:t>ы</w:t>
      </w:r>
      <w:r w:rsidRPr="00257DB2">
        <w:rPr>
          <w:sz w:val="28"/>
          <w:szCs w:val="28"/>
        </w:rPr>
        <w:t xml:space="preserve"> (</w:t>
      </w:r>
      <w:r w:rsidR="00027278">
        <w:rPr>
          <w:sz w:val="28"/>
          <w:szCs w:val="28"/>
        </w:rPr>
        <w:t>8291</w:t>
      </w:r>
      <w:r w:rsidRPr="00257DB2">
        <w:rPr>
          <w:sz w:val="28"/>
          <w:szCs w:val="28"/>
        </w:rPr>
        <w:t xml:space="preserve"> или </w:t>
      </w:r>
      <w:r w:rsidR="00027278">
        <w:rPr>
          <w:sz w:val="28"/>
          <w:szCs w:val="28"/>
        </w:rPr>
        <w:t>53</w:t>
      </w:r>
      <w:r w:rsidRPr="00257DB2">
        <w:rPr>
          <w:sz w:val="28"/>
          <w:szCs w:val="28"/>
        </w:rPr>
        <w:t>%) всех обращений направлены для рассмотрения в жилищную инспекцию территориальными органами федеральных органов власти (</w:t>
      </w:r>
      <w:r w:rsidR="00027278">
        <w:rPr>
          <w:sz w:val="28"/>
          <w:szCs w:val="28"/>
        </w:rPr>
        <w:t>5249</w:t>
      </w:r>
      <w:r w:rsidRPr="00257DB2">
        <w:rPr>
          <w:sz w:val="28"/>
          <w:szCs w:val="28"/>
        </w:rPr>
        <w:t xml:space="preserve"> или </w:t>
      </w:r>
      <w:r w:rsidR="00027278">
        <w:rPr>
          <w:sz w:val="28"/>
          <w:szCs w:val="28"/>
        </w:rPr>
        <w:t>33</w:t>
      </w:r>
      <w:r w:rsidRPr="00257DB2">
        <w:rPr>
          <w:sz w:val="28"/>
          <w:szCs w:val="28"/>
        </w:rPr>
        <w:t>%) и правительством области (</w:t>
      </w:r>
      <w:r w:rsidR="00027278">
        <w:rPr>
          <w:sz w:val="28"/>
          <w:szCs w:val="28"/>
        </w:rPr>
        <w:t>3042</w:t>
      </w:r>
      <w:r w:rsidRPr="00257DB2">
        <w:rPr>
          <w:sz w:val="28"/>
          <w:szCs w:val="28"/>
        </w:rPr>
        <w:t xml:space="preserve"> или </w:t>
      </w:r>
      <w:r w:rsidR="00027278">
        <w:rPr>
          <w:sz w:val="28"/>
          <w:szCs w:val="28"/>
        </w:rPr>
        <w:t>19</w:t>
      </w:r>
      <w:r w:rsidRPr="00257DB2">
        <w:rPr>
          <w:sz w:val="28"/>
          <w:szCs w:val="28"/>
        </w:rPr>
        <w:t>%).</w:t>
      </w:r>
    </w:p>
    <w:p w:rsidR="00A22A02" w:rsidRPr="00257DB2" w:rsidRDefault="00C82584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>По сравнению с 201</w:t>
      </w:r>
      <w:r w:rsidR="00B817CA">
        <w:rPr>
          <w:sz w:val="28"/>
          <w:szCs w:val="28"/>
        </w:rPr>
        <w:t>4</w:t>
      </w:r>
      <w:r w:rsidRPr="00257DB2">
        <w:rPr>
          <w:sz w:val="28"/>
          <w:szCs w:val="28"/>
        </w:rPr>
        <w:t xml:space="preserve"> г. </w:t>
      </w:r>
      <w:r w:rsidR="00D7315B">
        <w:rPr>
          <w:sz w:val="28"/>
          <w:szCs w:val="28"/>
        </w:rPr>
        <w:t>снизилась</w:t>
      </w:r>
      <w:r w:rsidR="007F2DC1" w:rsidRPr="005F4FAF">
        <w:rPr>
          <w:sz w:val="28"/>
          <w:szCs w:val="28"/>
        </w:rPr>
        <w:t xml:space="preserve"> </w:t>
      </w:r>
      <w:r w:rsidRPr="005F4FAF">
        <w:rPr>
          <w:sz w:val="28"/>
          <w:szCs w:val="28"/>
        </w:rPr>
        <w:t>д</w:t>
      </w:r>
      <w:r w:rsidR="00A22A02" w:rsidRPr="005F4FAF">
        <w:rPr>
          <w:sz w:val="28"/>
          <w:szCs w:val="28"/>
        </w:rPr>
        <w:t>оля</w:t>
      </w:r>
      <w:r w:rsidR="00A22A02" w:rsidRPr="00257DB2">
        <w:rPr>
          <w:sz w:val="28"/>
          <w:szCs w:val="28"/>
        </w:rPr>
        <w:t xml:space="preserve"> обращений, поступивших </w:t>
      </w:r>
      <w:r w:rsidR="00552B19" w:rsidRPr="00257DB2">
        <w:rPr>
          <w:sz w:val="28"/>
          <w:szCs w:val="28"/>
        </w:rPr>
        <w:t xml:space="preserve">в отчетном периоде </w:t>
      </w:r>
      <w:r w:rsidR="00A22A02" w:rsidRPr="00257DB2">
        <w:rPr>
          <w:sz w:val="28"/>
          <w:szCs w:val="28"/>
        </w:rPr>
        <w:t>из правительства области, в общем количестве обращений (</w:t>
      </w:r>
      <w:r w:rsidR="00027278">
        <w:rPr>
          <w:sz w:val="28"/>
          <w:szCs w:val="28"/>
        </w:rPr>
        <w:t>19</w:t>
      </w:r>
      <w:r w:rsidR="00A22A02" w:rsidRPr="00257DB2">
        <w:rPr>
          <w:sz w:val="28"/>
          <w:szCs w:val="28"/>
        </w:rPr>
        <w:t xml:space="preserve">% </w:t>
      </w:r>
      <w:r w:rsidR="00552B19" w:rsidRPr="00257DB2">
        <w:rPr>
          <w:sz w:val="28"/>
          <w:szCs w:val="28"/>
        </w:rPr>
        <w:t>в 201</w:t>
      </w:r>
      <w:r w:rsidR="00B817CA">
        <w:rPr>
          <w:sz w:val="28"/>
          <w:szCs w:val="28"/>
        </w:rPr>
        <w:t xml:space="preserve">5 </w:t>
      </w:r>
      <w:r w:rsidR="00552B19" w:rsidRPr="00257DB2">
        <w:rPr>
          <w:sz w:val="28"/>
          <w:szCs w:val="28"/>
        </w:rPr>
        <w:t xml:space="preserve">г. </w:t>
      </w:r>
      <w:r w:rsidR="005F4FAF">
        <w:rPr>
          <w:sz w:val="28"/>
          <w:szCs w:val="28"/>
        </w:rPr>
        <w:t>и</w:t>
      </w:r>
      <w:r w:rsidR="004D7383">
        <w:rPr>
          <w:sz w:val="28"/>
          <w:szCs w:val="28"/>
        </w:rPr>
        <w:t xml:space="preserve"> </w:t>
      </w:r>
      <w:r w:rsidR="00027278">
        <w:rPr>
          <w:sz w:val="28"/>
          <w:szCs w:val="28"/>
        </w:rPr>
        <w:t>21</w:t>
      </w:r>
      <w:r w:rsidR="005F4FAF" w:rsidRPr="00155F3A">
        <w:rPr>
          <w:sz w:val="28"/>
          <w:szCs w:val="28"/>
        </w:rPr>
        <w:t>%</w:t>
      </w:r>
      <w:r w:rsidR="00B817CA">
        <w:rPr>
          <w:sz w:val="28"/>
          <w:szCs w:val="28"/>
        </w:rPr>
        <w:t xml:space="preserve"> в 2014 г.)</w:t>
      </w:r>
      <w:r w:rsidRPr="00257DB2">
        <w:rPr>
          <w:sz w:val="28"/>
          <w:szCs w:val="28"/>
        </w:rPr>
        <w:t xml:space="preserve">. </w:t>
      </w:r>
      <w:r w:rsidR="00067700">
        <w:rPr>
          <w:sz w:val="28"/>
          <w:szCs w:val="28"/>
        </w:rPr>
        <w:t>Д</w:t>
      </w:r>
      <w:r w:rsidRPr="00257DB2">
        <w:rPr>
          <w:sz w:val="28"/>
          <w:szCs w:val="28"/>
        </w:rPr>
        <w:t>оля обращений, направленных в жилищную инспекцию из органов прокуратуры</w:t>
      </w:r>
      <w:r w:rsidR="00FE48AE">
        <w:rPr>
          <w:sz w:val="28"/>
          <w:szCs w:val="28"/>
        </w:rPr>
        <w:t xml:space="preserve">, </w:t>
      </w:r>
      <w:r w:rsidR="00D7315B">
        <w:rPr>
          <w:sz w:val="28"/>
          <w:szCs w:val="28"/>
        </w:rPr>
        <w:t>не изменилась</w:t>
      </w:r>
      <w:r w:rsidRPr="00257DB2">
        <w:rPr>
          <w:sz w:val="28"/>
          <w:szCs w:val="28"/>
        </w:rPr>
        <w:t xml:space="preserve"> (</w:t>
      </w:r>
      <w:r w:rsidR="00027278">
        <w:rPr>
          <w:sz w:val="28"/>
          <w:szCs w:val="28"/>
        </w:rPr>
        <w:t>26</w:t>
      </w:r>
      <w:r w:rsidR="009B0DF4">
        <w:rPr>
          <w:sz w:val="28"/>
          <w:szCs w:val="28"/>
        </w:rPr>
        <w:t>%</w:t>
      </w:r>
      <w:r w:rsidRPr="00257DB2">
        <w:rPr>
          <w:sz w:val="28"/>
          <w:szCs w:val="28"/>
        </w:rPr>
        <w:t xml:space="preserve"> в 201</w:t>
      </w:r>
      <w:r w:rsidR="00B817CA">
        <w:rPr>
          <w:sz w:val="28"/>
          <w:szCs w:val="28"/>
        </w:rPr>
        <w:t>5</w:t>
      </w:r>
      <w:r w:rsidRPr="00257DB2">
        <w:rPr>
          <w:sz w:val="28"/>
          <w:szCs w:val="28"/>
        </w:rPr>
        <w:t xml:space="preserve"> г. и </w:t>
      </w:r>
      <w:r w:rsidR="00027278">
        <w:rPr>
          <w:sz w:val="28"/>
          <w:szCs w:val="28"/>
        </w:rPr>
        <w:t>26</w:t>
      </w:r>
      <w:r w:rsidR="005F4FAF" w:rsidRPr="00155F3A">
        <w:rPr>
          <w:sz w:val="28"/>
          <w:szCs w:val="28"/>
        </w:rPr>
        <w:t xml:space="preserve">% </w:t>
      </w:r>
      <w:r w:rsidRPr="00257DB2">
        <w:rPr>
          <w:sz w:val="28"/>
          <w:szCs w:val="28"/>
        </w:rPr>
        <w:t xml:space="preserve"> в 201</w:t>
      </w:r>
      <w:r w:rsidR="00B817CA">
        <w:rPr>
          <w:sz w:val="28"/>
          <w:szCs w:val="28"/>
        </w:rPr>
        <w:t>4</w:t>
      </w:r>
      <w:r w:rsidRPr="00257DB2">
        <w:rPr>
          <w:sz w:val="28"/>
          <w:szCs w:val="28"/>
        </w:rPr>
        <w:t xml:space="preserve"> г.)</w:t>
      </w:r>
      <w:r w:rsidR="00067700">
        <w:rPr>
          <w:sz w:val="28"/>
          <w:szCs w:val="28"/>
        </w:rPr>
        <w:t>. Также практически не изменилась и д</w:t>
      </w:r>
      <w:r w:rsidR="00027278">
        <w:rPr>
          <w:sz w:val="28"/>
          <w:szCs w:val="28"/>
        </w:rPr>
        <w:t>оля обращений, поступивших непосредственно в инспекцию, в том числе с личного приема граждан</w:t>
      </w:r>
      <w:r w:rsidR="00A22A02" w:rsidRPr="00257DB2">
        <w:rPr>
          <w:sz w:val="28"/>
          <w:szCs w:val="28"/>
        </w:rPr>
        <w:t xml:space="preserve"> ее руководителем </w:t>
      </w:r>
      <w:r w:rsidR="00027278">
        <w:rPr>
          <w:sz w:val="28"/>
          <w:szCs w:val="28"/>
        </w:rPr>
        <w:t>– 5583 обращений (36%) в 2015 г. и 4136 (37%) в 2014 г.</w:t>
      </w:r>
      <w:r w:rsidR="00A22A02" w:rsidRPr="00257DB2">
        <w:rPr>
          <w:sz w:val="28"/>
          <w:szCs w:val="28"/>
        </w:rPr>
        <w:t xml:space="preserve"> </w:t>
      </w:r>
    </w:p>
    <w:p w:rsidR="00A22A02" w:rsidRPr="00257DB2" w:rsidRDefault="00A22A02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lastRenderedPageBreak/>
        <w:t xml:space="preserve">Более детально сравнительный анализ по годам и источникам поступления обращений представлен в нижеследующей таблице: </w:t>
      </w:r>
    </w:p>
    <w:p w:rsidR="0041313B" w:rsidRDefault="0041313B" w:rsidP="00A22A02">
      <w:pPr>
        <w:pStyle w:val="30"/>
        <w:spacing w:line="276" w:lineRule="auto"/>
        <w:rPr>
          <w:sz w:val="26"/>
          <w:szCs w:val="26"/>
        </w:rPr>
      </w:pPr>
    </w:p>
    <w:tbl>
      <w:tblPr>
        <w:tblStyle w:val="ab"/>
        <w:tblW w:w="9242" w:type="dxa"/>
        <w:jc w:val="center"/>
        <w:shd w:val="clear" w:color="auto" w:fill="CCC0D9" w:themeFill="accent4" w:themeFillTint="66"/>
        <w:tblLook w:val="04A0"/>
      </w:tblPr>
      <w:tblGrid>
        <w:gridCol w:w="5495"/>
        <w:gridCol w:w="1249"/>
        <w:gridCol w:w="1249"/>
        <w:gridCol w:w="1249"/>
      </w:tblGrid>
      <w:tr w:rsidR="00A24E14" w:rsidRPr="00EE6BE8" w:rsidTr="0042359A">
        <w:trPr>
          <w:trHeight w:val="20"/>
          <w:jc w:val="center"/>
        </w:trPr>
        <w:tc>
          <w:tcPr>
            <w:tcW w:w="5495" w:type="dxa"/>
            <w:shd w:val="clear" w:color="auto" w:fill="CCC0D9" w:themeFill="accent4" w:themeFillTint="66"/>
          </w:tcPr>
          <w:p w:rsidR="00A24E14" w:rsidRPr="00EE6BE8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 w:rsidRPr="00EE6BE8">
              <w:rPr>
                <w:rFonts w:ascii="Times New Roman" w:hAnsi="Times New Roman"/>
                <w:b/>
                <w:sz w:val="26"/>
                <w:szCs w:val="26"/>
              </w:rPr>
              <w:t xml:space="preserve">Источники поступления обращений 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EE6BE8" w:rsidRDefault="00A24E14" w:rsidP="004235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6BE8">
              <w:rPr>
                <w:rFonts w:ascii="Times New Roman" w:hAnsi="Times New Roman"/>
                <w:b/>
                <w:bCs/>
              </w:rPr>
              <w:t>2013 год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EE6BE8" w:rsidRDefault="00A24E14" w:rsidP="004235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6BE8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EE6BE8">
              <w:rPr>
                <w:rFonts w:ascii="Times New Roman" w:hAnsi="Times New Roman"/>
                <w:b/>
                <w:bCs/>
              </w:rPr>
              <w:t xml:space="preserve"> год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EE6BE8" w:rsidRDefault="00A24E14" w:rsidP="00A24E1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6BE8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EE6BE8">
              <w:rPr>
                <w:rFonts w:ascii="Times New Roman" w:hAnsi="Times New Roman"/>
                <w:b/>
                <w:bCs/>
              </w:rPr>
              <w:t xml:space="preserve"> год</w:t>
            </w:r>
          </w:p>
        </w:tc>
      </w:tr>
      <w:tr w:rsidR="00A24E14" w:rsidRPr="007F7426" w:rsidTr="0042359A">
        <w:trPr>
          <w:trHeight w:val="20"/>
          <w:jc w:val="center"/>
        </w:trPr>
        <w:tc>
          <w:tcPr>
            <w:tcW w:w="5495" w:type="dxa"/>
            <w:shd w:val="clear" w:color="auto" w:fill="CCC0D9" w:themeFill="accent4" w:themeFillTint="66"/>
          </w:tcPr>
          <w:p w:rsidR="00A24E14" w:rsidRPr="008D3E52" w:rsidRDefault="00A24E14" w:rsidP="0042359A">
            <w:pPr>
              <w:rPr>
                <w:rFonts w:ascii="Times New Roman" w:hAnsi="Times New Roman"/>
              </w:rPr>
            </w:pPr>
            <w:r w:rsidRPr="007F7426">
              <w:rPr>
                <w:rFonts w:ascii="Times New Roman" w:hAnsi="Times New Roman"/>
              </w:rPr>
              <w:t xml:space="preserve">Непосредственно от граждан, </w:t>
            </w:r>
          </w:p>
          <w:p w:rsidR="00A24E14" w:rsidRPr="007F7426" w:rsidRDefault="00A24E14" w:rsidP="0042359A">
            <w:pPr>
              <w:rPr>
                <w:rFonts w:ascii="Times New Roman" w:hAnsi="Times New Roman"/>
              </w:rPr>
            </w:pPr>
            <w:r w:rsidRPr="007F742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2585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4136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5583</w:t>
            </w:r>
          </w:p>
        </w:tc>
      </w:tr>
      <w:tr w:rsidR="00A24E14" w:rsidRPr="007F7426" w:rsidTr="0042359A">
        <w:trPr>
          <w:trHeight w:val="324"/>
          <w:jc w:val="center"/>
        </w:trPr>
        <w:tc>
          <w:tcPr>
            <w:tcW w:w="5495" w:type="dxa"/>
            <w:shd w:val="clear" w:color="auto" w:fill="CCC0D9" w:themeFill="accent4" w:themeFillTint="66"/>
          </w:tcPr>
          <w:p w:rsidR="00A24E14" w:rsidRPr="007F7426" w:rsidRDefault="00A24E14" w:rsidP="0042359A">
            <w:pPr>
              <w:rPr>
                <w:rFonts w:ascii="Times New Roman" w:hAnsi="Times New Roman"/>
                <w:i/>
              </w:rPr>
            </w:pPr>
            <w:r w:rsidRPr="007F7426">
              <w:rPr>
                <w:rFonts w:ascii="Times New Roman" w:hAnsi="Times New Roman"/>
                <w:i/>
              </w:rPr>
              <w:t>на личном приеме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40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64</w:t>
            </w:r>
          </w:p>
        </w:tc>
      </w:tr>
      <w:tr w:rsidR="00A24E14" w:rsidRPr="007F7426" w:rsidTr="0042359A">
        <w:trPr>
          <w:trHeight w:val="20"/>
          <w:jc w:val="center"/>
        </w:trPr>
        <w:tc>
          <w:tcPr>
            <w:tcW w:w="5495" w:type="dxa"/>
            <w:shd w:val="clear" w:color="auto" w:fill="CCC0D9" w:themeFill="accent4" w:themeFillTint="66"/>
          </w:tcPr>
          <w:p w:rsidR="00A24E14" w:rsidRPr="007F7426" w:rsidRDefault="00A24E14" w:rsidP="0042359A">
            <w:pPr>
              <w:rPr>
                <w:rFonts w:ascii="Times New Roman" w:hAnsi="Times New Roman"/>
              </w:rPr>
            </w:pPr>
            <w:r w:rsidRPr="007F7426">
              <w:rPr>
                <w:rFonts w:ascii="Times New Roman" w:hAnsi="Times New Roman"/>
              </w:rPr>
              <w:t>Правительство Воронежской области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1088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2263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3042</w:t>
            </w:r>
          </w:p>
        </w:tc>
      </w:tr>
      <w:tr w:rsidR="00A24E14" w:rsidRPr="007F7426" w:rsidTr="0042359A">
        <w:trPr>
          <w:trHeight w:val="20"/>
          <w:jc w:val="center"/>
        </w:trPr>
        <w:tc>
          <w:tcPr>
            <w:tcW w:w="5495" w:type="dxa"/>
            <w:shd w:val="clear" w:color="auto" w:fill="CCC0D9" w:themeFill="accent4" w:themeFillTint="66"/>
          </w:tcPr>
          <w:p w:rsidR="00A24E14" w:rsidRPr="007F7426" w:rsidRDefault="00A24E14" w:rsidP="0042359A">
            <w:pPr>
              <w:rPr>
                <w:rFonts w:ascii="Times New Roman" w:hAnsi="Times New Roman"/>
              </w:rPr>
            </w:pPr>
            <w:r w:rsidRPr="007F7426">
              <w:rPr>
                <w:rFonts w:ascii="Times New Roman" w:hAnsi="Times New Roman"/>
              </w:rPr>
              <w:t>ИОГВ, структурные подразделения правительства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332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658</w:t>
            </w:r>
          </w:p>
        </w:tc>
      </w:tr>
      <w:tr w:rsidR="00A24E14" w:rsidRPr="007F7426" w:rsidTr="0042359A">
        <w:trPr>
          <w:trHeight w:val="20"/>
          <w:jc w:val="center"/>
        </w:trPr>
        <w:tc>
          <w:tcPr>
            <w:tcW w:w="5495" w:type="dxa"/>
            <w:shd w:val="clear" w:color="auto" w:fill="CCC0D9" w:themeFill="accent4" w:themeFillTint="66"/>
          </w:tcPr>
          <w:p w:rsidR="00A24E14" w:rsidRPr="007F7426" w:rsidRDefault="00A24E14" w:rsidP="0042359A">
            <w:pPr>
              <w:rPr>
                <w:rFonts w:ascii="Times New Roman" w:hAnsi="Times New Roman"/>
              </w:rPr>
            </w:pPr>
            <w:r w:rsidRPr="007F7426">
              <w:rPr>
                <w:rFonts w:ascii="Times New Roman" w:hAnsi="Times New Roman"/>
              </w:rPr>
              <w:t xml:space="preserve">Территориальные органы федеральных органов власти, </w:t>
            </w:r>
          </w:p>
          <w:p w:rsidR="00A24E14" w:rsidRPr="007F7426" w:rsidRDefault="00A24E14" w:rsidP="0042359A">
            <w:pPr>
              <w:rPr>
                <w:rFonts w:ascii="Times New Roman" w:hAnsi="Times New Roman"/>
              </w:rPr>
            </w:pPr>
            <w:r w:rsidRPr="007F742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2973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3762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5249</w:t>
            </w:r>
          </w:p>
        </w:tc>
      </w:tr>
      <w:tr w:rsidR="00A24E14" w:rsidRPr="007F7426" w:rsidTr="0042359A">
        <w:trPr>
          <w:trHeight w:val="20"/>
          <w:jc w:val="center"/>
        </w:trPr>
        <w:tc>
          <w:tcPr>
            <w:tcW w:w="5495" w:type="dxa"/>
            <w:shd w:val="clear" w:color="auto" w:fill="CCC0D9" w:themeFill="accent4" w:themeFillTint="66"/>
          </w:tcPr>
          <w:p w:rsidR="00A24E14" w:rsidRPr="007F7426" w:rsidRDefault="00A24E14" w:rsidP="0042359A">
            <w:pPr>
              <w:rPr>
                <w:rFonts w:ascii="Times New Roman" w:hAnsi="Times New Roman"/>
                <w:i/>
              </w:rPr>
            </w:pPr>
            <w:r w:rsidRPr="007F7426">
              <w:rPr>
                <w:rFonts w:ascii="Times New Roman" w:hAnsi="Times New Roman"/>
                <w:i/>
              </w:rPr>
              <w:t>Роспотребнадзор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823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698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907</w:t>
            </w:r>
          </w:p>
        </w:tc>
      </w:tr>
      <w:tr w:rsidR="00A24E14" w:rsidRPr="007F7426" w:rsidTr="0042359A">
        <w:trPr>
          <w:trHeight w:val="20"/>
          <w:jc w:val="center"/>
        </w:trPr>
        <w:tc>
          <w:tcPr>
            <w:tcW w:w="5495" w:type="dxa"/>
            <w:shd w:val="clear" w:color="auto" w:fill="CCC0D9" w:themeFill="accent4" w:themeFillTint="66"/>
          </w:tcPr>
          <w:p w:rsidR="00A24E14" w:rsidRPr="007F7426" w:rsidRDefault="00A24E14" w:rsidP="0042359A">
            <w:pPr>
              <w:rPr>
                <w:rFonts w:ascii="Times New Roman" w:hAnsi="Times New Roman"/>
                <w:i/>
              </w:rPr>
            </w:pPr>
            <w:r w:rsidRPr="007F7426">
              <w:rPr>
                <w:rFonts w:ascii="Times New Roman" w:hAnsi="Times New Roman"/>
                <w:i/>
              </w:rPr>
              <w:t>Ростехнадзор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17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44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34</w:t>
            </w:r>
          </w:p>
        </w:tc>
      </w:tr>
      <w:tr w:rsidR="00A24E14" w:rsidRPr="007F7426" w:rsidTr="0042359A">
        <w:trPr>
          <w:trHeight w:val="20"/>
          <w:jc w:val="center"/>
        </w:trPr>
        <w:tc>
          <w:tcPr>
            <w:tcW w:w="5495" w:type="dxa"/>
            <w:shd w:val="clear" w:color="auto" w:fill="CCC0D9" w:themeFill="accent4" w:themeFillTint="66"/>
          </w:tcPr>
          <w:p w:rsidR="00A24E14" w:rsidRPr="007F7426" w:rsidRDefault="00A24E14" w:rsidP="0042359A">
            <w:pPr>
              <w:rPr>
                <w:rFonts w:ascii="Times New Roman" w:hAnsi="Times New Roman"/>
                <w:i/>
              </w:rPr>
            </w:pPr>
            <w:r w:rsidRPr="007F7426">
              <w:rPr>
                <w:rFonts w:ascii="Times New Roman" w:hAnsi="Times New Roman"/>
                <w:i/>
              </w:rPr>
              <w:t>Органы прокуратуры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2065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2910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4133</w:t>
            </w:r>
          </w:p>
        </w:tc>
      </w:tr>
      <w:tr w:rsidR="00A24E14" w:rsidRPr="007F7426" w:rsidTr="0042359A">
        <w:trPr>
          <w:trHeight w:val="20"/>
          <w:jc w:val="center"/>
        </w:trPr>
        <w:tc>
          <w:tcPr>
            <w:tcW w:w="5495" w:type="dxa"/>
            <w:shd w:val="clear" w:color="auto" w:fill="CCC0D9" w:themeFill="accent4" w:themeFillTint="66"/>
          </w:tcPr>
          <w:p w:rsidR="00A24E14" w:rsidRPr="007F7426" w:rsidRDefault="00A24E14" w:rsidP="0042359A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прочие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68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110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175</w:t>
            </w:r>
          </w:p>
        </w:tc>
      </w:tr>
      <w:tr w:rsidR="00A24E14" w:rsidRPr="007F7426" w:rsidTr="0042359A">
        <w:trPr>
          <w:trHeight w:val="20"/>
          <w:jc w:val="center"/>
        </w:trPr>
        <w:tc>
          <w:tcPr>
            <w:tcW w:w="5495" w:type="dxa"/>
            <w:shd w:val="clear" w:color="auto" w:fill="CCC0D9" w:themeFill="accent4" w:themeFillTint="66"/>
          </w:tcPr>
          <w:p w:rsidR="00A24E14" w:rsidRPr="007F7426" w:rsidRDefault="00A24E14" w:rsidP="0042359A">
            <w:pPr>
              <w:rPr>
                <w:rFonts w:ascii="Times New Roman" w:hAnsi="Times New Roman"/>
              </w:rPr>
            </w:pPr>
            <w:r w:rsidRPr="007F7426">
              <w:rPr>
                <w:rFonts w:ascii="Times New Roman" w:hAnsi="Times New Roman"/>
              </w:rPr>
              <w:t>Городская, областная Думы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145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205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473</w:t>
            </w:r>
          </w:p>
        </w:tc>
      </w:tr>
      <w:tr w:rsidR="00A24E14" w:rsidRPr="007F7426" w:rsidTr="0042359A">
        <w:trPr>
          <w:trHeight w:val="20"/>
          <w:jc w:val="center"/>
        </w:trPr>
        <w:tc>
          <w:tcPr>
            <w:tcW w:w="5495" w:type="dxa"/>
            <w:shd w:val="clear" w:color="auto" w:fill="CCC0D9" w:themeFill="accent4" w:themeFillTint="66"/>
          </w:tcPr>
          <w:p w:rsidR="00A24E14" w:rsidRPr="007F7426" w:rsidRDefault="00A24E14" w:rsidP="0042359A">
            <w:pPr>
              <w:rPr>
                <w:rFonts w:ascii="Times New Roman" w:hAnsi="Times New Roman"/>
              </w:rPr>
            </w:pPr>
            <w:r w:rsidRPr="007F7426">
              <w:rPr>
                <w:rFonts w:ascii="Times New Roman" w:hAnsi="Times New Roman"/>
              </w:rPr>
              <w:t>Органы местного самоуправления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</w:t>
            </w:r>
          </w:p>
        </w:tc>
      </w:tr>
      <w:tr w:rsidR="00A24E14" w:rsidRPr="007F7426" w:rsidTr="0042359A">
        <w:trPr>
          <w:trHeight w:val="20"/>
          <w:jc w:val="center"/>
        </w:trPr>
        <w:tc>
          <w:tcPr>
            <w:tcW w:w="5495" w:type="dxa"/>
            <w:shd w:val="clear" w:color="auto" w:fill="CCC0D9" w:themeFill="accent4" w:themeFillTint="66"/>
          </w:tcPr>
          <w:p w:rsidR="00A24E14" w:rsidRPr="007F7426" w:rsidRDefault="00A24E14" w:rsidP="0042359A">
            <w:pPr>
              <w:rPr>
                <w:rFonts w:ascii="Times New Roman" w:hAnsi="Times New Roman"/>
              </w:rPr>
            </w:pPr>
            <w:r w:rsidRPr="007F7426">
              <w:rPr>
                <w:rFonts w:ascii="Times New Roman" w:hAnsi="Times New Roman"/>
              </w:rPr>
              <w:t>Юридические лица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142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421</w:t>
            </w:r>
          </w:p>
        </w:tc>
      </w:tr>
      <w:tr w:rsidR="00A24E14" w:rsidRPr="007F7426" w:rsidTr="0042359A">
        <w:trPr>
          <w:trHeight w:val="20"/>
          <w:jc w:val="center"/>
        </w:trPr>
        <w:tc>
          <w:tcPr>
            <w:tcW w:w="5495" w:type="dxa"/>
            <w:shd w:val="clear" w:color="auto" w:fill="CCC0D9" w:themeFill="accent4" w:themeFillTint="66"/>
          </w:tcPr>
          <w:p w:rsidR="00A24E14" w:rsidRPr="007F7426" w:rsidRDefault="00A24E14" w:rsidP="004235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152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</w:t>
            </w:r>
          </w:p>
        </w:tc>
      </w:tr>
      <w:tr w:rsidR="00A24E14" w:rsidRPr="007F7426" w:rsidTr="0042359A">
        <w:trPr>
          <w:trHeight w:val="20"/>
          <w:jc w:val="center"/>
        </w:trPr>
        <w:tc>
          <w:tcPr>
            <w:tcW w:w="5495" w:type="dxa"/>
            <w:shd w:val="clear" w:color="auto" w:fill="CCC0D9" w:themeFill="accent4" w:themeFillTint="66"/>
          </w:tcPr>
          <w:p w:rsidR="00A24E14" w:rsidRPr="00005BB9" w:rsidRDefault="00A24E14" w:rsidP="0042359A">
            <w:pPr>
              <w:rPr>
                <w:rFonts w:ascii="Times New Roman" w:hAnsi="Times New Roman"/>
                <w:b/>
              </w:rPr>
            </w:pPr>
            <w:r w:rsidRPr="00005BB9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7157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11033</w:t>
            </w:r>
          </w:p>
        </w:tc>
        <w:tc>
          <w:tcPr>
            <w:tcW w:w="1249" w:type="dxa"/>
            <w:shd w:val="clear" w:color="auto" w:fill="CCC0D9" w:themeFill="accent4" w:themeFillTint="66"/>
          </w:tcPr>
          <w:p w:rsidR="00A24E14" w:rsidRPr="00957114" w:rsidRDefault="00A24E14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15704</w:t>
            </w:r>
          </w:p>
        </w:tc>
      </w:tr>
    </w:tbl>
    <w:p w:rsidR="003D5744" w:rsidRDefault="003D5744" w:rsidP="00693F07">
      <w:pPr>
        <w:pStyle w:val="30"/>
        <w:spacing w:line="276" w:lineRule="auto"/>
        <w:rPr>
          <w:sz w:val="28"/>
          <w:szCs w:val="28"/>
        </w:rPr>
      </w:pPr>
    </w:p>
    <w:p w:rsidR="00A24E14" w:rsidRDefault="00A24E14" w:rsidP="00693F07">
      <w:pPr>
        <w:pStyle w:val="3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Как видно из приведенной выше таблицы, тенденция к постоянному увеличению количества обращений граждан продолжает сохраняться.</w:t>
      </w:r>
    </w:p>
    <w:p w:rsidR="00A24E14" w:rsidRDefault="00362F50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При анализе писем по тематике можно проследить следующую статистику. </w:t>
      </w:r>
      <w:r w:rsidR="00A24E14">
        <w:rPr>
          <w:sz w:val="28"/>
          <w:szCs w:val="28"/>
        </w:rPr>
        <w:t>Наиболее актуальным блоком вопросов обращений, поступающих в жилищную инспекцию, является</w:t>
      </w:r>
      <w:r w:rsidR="00A24E14" w:rsidRPr="00A24E14">
        <w:rPr>
          <w:sz w:val="28"/>
          <w:szCs w:val="28"/>
        </w:rPr>
        <w:t xml:space="preserve"> </w:t>
      </w:r>
      <w:r w:rsidR="00A24E14">
        <w:rPr>
          <w:sz w:val="28"/>
          <w:szCs w:val="28"/>
        </w:rPr>
        <w:t>обоснованность расчета платежей</w:t>
      </w:r>
      <w:r w:rsidR="00A24E14" w:rsidRPr="00257DB2">
        <w:rPr>
          <w:sz w:val="28"/>
          <w:szCs w:val="28"/>
        </w:rPr>
        <w:t xml:space="preserve"> и увеличения тарифов</w:t>
      </w:r>
      <w:r w:rsidR="00A24E14">
        <w:rPr>
          <w:sz w:val="28"/>
          <w:szCs w:val="28"/>
        </w:rPr>
        <w:t>. В отчетном периоде доля таких обращений практически не изменилась – 5634 или 36% в 2015 г., 4124 или 37</w:t>
      </w:r>
      <w:r w:rsidR="00FD1007">
        <w:rPr>
          <w:sz w:val="28"/>
          <w:szCs w:val="28"/>
        </w:rPr>
        <w:t>%</w:t>
      </w:r>
      <w:r w:rsidR="00A24E14">
        <w:rPr>
          <w:sz w:val="28"/>
          <w:szCs w:val="28"/>
        </w:rPr>
        <w:t xml:space="preserve"> в 2014 г.</w:t>
      </w:r>
    </w:p>
    <w:p w:rsidR="00A36F48" w:rsidRDefault="00067700" w:rsidP="00693F07">
      <w:pPr>
        <w:pStyle w:val="3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Несмотря на количественный рост,</w:t>
      </w:r>
      <w:r w:rsidR="00A24E14">
        <w:rPr>
          <w:sz w:val="28"/>
          <w:szCs w:val="28"/>
        </w:rPr>
        <w:t xml:space="preserve"> доля обращений, содержащих жалобы на </w:t>
      </w:r>
      <w:r w:rsidR="00A24E14" w:rsidRPr="00257DB2">
        <w:rPr>
          <w:sz w:val="28"/>
          <w:szCs w:val="28"/>
        </w:rPr>
        <w:t>неудовлетворительное техническое состояние многоквартирных домов</w:t>
      </w:r>
      <w:r w:rsidR="00A24E14">
        <w:rPr>
          <w:sz w:val="28"/>
          <w:szCs w:val="28"/>
        </w:rPr>
        <w:t xml:space="preserve">, по сравнению с 2014 г. несколько снизилась – 4680 обращений (29%), в 2014 г. </w:t>
      </w:r>
      <w:r w:rsidR="00FD1007">
        <w:rPr>
          <w:sz w:val="28"/>
          <w:szCs w:val="28"/>
        </w:rPr>
        <w:t>–</w:t>
      </w:r>
      <w:r w:rsidR="00A24E14">
        <w:rPr>
          <w:sz w:val="28"/>
          <w:szCs w:val="28"/>
        </w:rPr>
        <w:t xml:space="preserve"> </w:t>
      </w:r>
      <w:r w:rsidR="00FD1007">
        <w:rPr>
          <w:sz w:val="28"/>
          <w:szCs w:val="28"/>
        </w:rPr>
        <w:t xml:space="preserve">3643 (33%). </w:t>
      </w:r>
      <w:r w:rsidR="00A36F48">
        <w:rPr>
          <w:sz w:val="28"/>
          <w:szCs w:val="28"/>
        </w:rPr>
        <w:t xml:space="preserve">Также снизилась доля обращений по вопросам </w:t>
      </w:r>
      <w:r w:rsidR="00A36F48" w:rsidRPr="00257DB2">
        <w:rPr>
          <w:sz w:val="28"/>
          <w:szCs w:val="28"/>
        </w:rPr>
        <w:t>некачественно</w:t>
      </w:r>
      <w:r w:rsidR="00A36F48">
        <w:rPr>
          <w:sz w:val="28"/>
          <w:szCs w:val="28"/>
        </w:rPr>
        <w:t>го</w:t>
      </w:r>
      <w:r w:rsidR="00A36F48" w:rsidRPr="00257DB2">
        <w:rPr>
          <w:sz w:val="28"/>
          <w:szCs w:val="28"/>
        </w:rPr>
        <w:t xml:space="preserve"> предоставлени</w:t>
      </w:r>
      <w:r w:rsidR="00A36F48">
        <w:rPr>
          <w:sz w:val="28"/>
          <w:szCs w:val="28"/>
        </w:rPr>
        <w:t>я</w:t>
      </w:r>
      <w:r w:rsidR="00A36F48" w:rsidRPr="00257DB2">
        <w:rPr>
          <w:sz w:val="28"/>
          <w:szCs w:val="28"/>
        </w:rPr>
        <w:t xml:space="preserve"> населению коммунальных услуг</w:t>
      </w:r>
      <w:r w:rsidR="00A36F48">
        <w:rPr>
          <w:sz w:val="28"/>
          <w:szCs w:val="28"/>
        </w:rPr>
        <w:t xml:space="preserve"> по сравнению с 2014 г. –</w:t>
      </w:r>
      <w:r w:rsidR="00FD1007">
        <w:rPr>
          <w:sz w:val="28"/>
          <w:szCs w:val="28"/>
        </w:rPr>
        <w:t>12%</w:t>
      </w:r>
      <w:r w:rsidR="00A36F48">
        <w:rPr>
          <w:sz w:val="28"/>
          <w:szCs w:val="28"/>
        </w:rPr>
        <w:t xml:space="preserve"> в 2015 г., </w:t>
      </w:r>
      <w:r w:rsidR="00FD1007">
        <w:rPr>
          <w:sz w:val="28"/>
          <w:szCs w:val="28"/>
        </w:rPr>
        <w:t>16%</w:t>
      </w:r>
      <w:r w:rsidR="00A36F48">
        <w:rPr>
          <w:sz w:val="28"/>
          <w:szCs w:val="28"/>
        </w:rPr>
        <w:t xml:space="preserve"> – в 2014 г.</w:t>
      </w:r>
    </w:p>
    <w:p w:rsidR="0015268C" w:rsidRDefault="0015268C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В отчетном периоде </w:t>
      </w:r>
      <w:r w:rsidR="005F4FAF">
        <w:rPr>
          <w:sz w:val="28"/>
          <w:szCs w:val="28"/>
        </w:rPr>
        <w:t>практически не изменилась</w:t>
      </w:r>
      <w:r w:rsidRPr="00257DB2">
        <w:rPr>
          <w:sz w:val="28"/>
          <w:szCs w:val="28"/>
        </w:rPr>
        <w:t xml:space="preserve"> </w:t>
      </w:r>
      <w:r w:rsidR="00257DB2" w:rsidRPr="00257DB2">
        <w:rPr>
          <w:sz w:val="28"/>
          <w:szCs w:val="28"/>
        </w:rPr>
        <w:t>в структуре обращений доля вопросов о проведении проверки законности управления жилищным фондом и соблюдения управляющими организациями обязательных требований о раскрытии информации о своей деятельности в соответствие со стандартом (</w:t>
      </w:r>
      <w:r w:rsidR="00FD1007">
        <w:rPr>
          <w:sz w:val="28"/>
          <w:szCs w:val="28"/>
        </w:rPr>
        <w:t>1333</w:t>
      </w:r>
      <w:r w:rsidR="00257DB2" w:rsidRPr="00257DB2">
        <w:rPr>
          <w:sz w:val="28"/>
          <w:szCs w:val="28"/>
        </w:rPr>
        <w:t xml:space="preserve"> обращени</w:t>
      </w:r>
      <w:r w:rsidR="00FD1007">
        <w:rPr>
          <w:sz w:val="28"/>
          <w:szCs w:val="28"/>
        </w:rPr>
        <w:t>я</w:t>
      </w:r>
      <w:r w:rsidR="00257DB2" w:rsidRPr="00257DB2">
        <w:rPr>
          <w:sz w:val="28"/>
          <w:szCs w:val="28"/>
        </w:rPr>
        <w:t xml:space="preserve"> или </w:t>
      </w:r>
      <w:r w:rsidR="00FD1007">
        <w:rPr>
          <w:sz w:val="28"/>
          <w:szCs w:val="28"/>
        </w:rPr>
        <w:t>8</w:t>
      </w:r>
      <w:r w:rsidR="00257DB2" w:rsidRPr="00257DB2">
        <w:rPr>
          <w:sz w:val="28"/>
          <w:szCs w:val="28"/>
        </w:rPr>
        <w:t>% в 201</w:t>
      </w:r>
      <w:r w:rsidR="00D22C63">
        <w:rPr>
          <w:sz w:val="28"/>
          <w:szCs w:val="28"/>
        </w:rPr>
        <w:t>5</w:t>
      </w:r>
      <w:r w:rsidR="00257DB2" w:rsidRPr="00257DB2">
        <w:rPr>
          <w:sz w:val="28"/>
          <w:szCs w:val="28"/>
        </w:rPr>
        <w:t xml:space="preserve"> г. и </w:t>
      </w:r>
      <w:r w:rsidR="00FD1007">
        <w:rPr>
          <w:sz w:val="28"/>
          <w:szCs w:val="28"/>
        </w:rPr>
        <w:t>782</w:t>
      </w:r>
      <w:r w:rsidR="005F4FAF" w:rsidRPr="00317079">
        <w:rPr>
          <w:sz w:val="28"/>
          <w:szCs w:val="28"/>
        </w:rPr>
        <w:t xml:space="preserve"> обращени</w:t>
      </w:r>
      <w:r w:rsidR="00B05DAA">
        <w:rPr>
          <w:sz w:val="28"/>
          <w:szCs w:val="28"/>
        </w:rPr>
        <w:t>я</w:t>
      </w:r>
      <w:r w:rsidR="005F4FAF" w:rsidRPr="00317079">
        <w:rPr>
          <w:sz w:val="28"/>
          <w:szCs w:val="28"/>
        </w:rPr>
        <w:t xml:space="preserve"> или </w:t>
      </w:r>
      <w:r w:rsidR="00FD1007">
        <w:rPr>
          <w:sz w:val="28"/>
          <w:szCs w:val="28"/>
        </w:rPr>
        <w:t>7</w:t>
      </w:r>
      <w:r w:rsidR="005F4FAF" w:rsidRPr="00317079">
        <w:rPr>
          <w:sz w:val="28"/>
          <w:szCs w:val="28"/>
        </w:rPr>
        <w:t>%</w:t>
      </w:r>
      <w:r w:rsidR="005F4FAF">
        <w:rPr>
          <w:sz w:val="28"/>
          <w:szCs w:val="28"/>
        </w:rPr>
        <w:t xml:space="preserve"> </w:t>
      </w:r>
      <w:r w:rsidR="00257DB2" w:rsidRPr="00257DB2">
        <w:rPr>
          <w:sz w:val="28"/>
          <w:szCs w:val="28"/>
        </w:rPr>
        <w:t>в 201</w:t>
      </w:r>
      <w:r w:rsidR="00D22C63">
        <w:rPr>
          <w:sz w:val="28"/>
          <w:szCs w:val="28"/>
        </w:rPr>
        <w:t>4</w:t>
      </w:r>
      <w:r w:rsidR="00257DB2" w:rsidRPr="00257DB2">
        <w:rPr>
          <w:sz w:val="28"/>
          <w:szCs w:val="28"/>
        </w:rPr>
        <w:t xml:space="preserve"> г.)</w:t>
      </w:r>
      <w:r w:rsidR="00936247">
        <w:rPr>
          <w:sz w:val="28"/>
          <w:szCs w:val="28"/>
        </w:rPr>
        <w:t>.</w:t>
      </w:r>
    </w:p>
    <w:p w:rsidR="00936247" w:rsidRPr="00257DB2" w:rsidRDefault="00936247" w:rsidP="00693F07">
      <w:pPr>
        <w:pStyle w:val="3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связи с принятием </w:t>
      </w:r>
      <w:r w:rsidR="00281FD8">
        <w:rPr>
          <w:sz w:val="28"/>
          <w:szCs w:val="28"/>
        </w:rPr>
        <w:t xml:space="preserve">ряда </w:t>
      </w:r>
      <w:r>
        <w:rPr>
          <w:sz w:val="28"/>
          <w:szCs w:val="28"/>
        </w:rPr>
        <w:t xml:space="preserve">нормативных </w:t>
      </w:r>
      <w:r w:rsidR="00281FD8">
        <w:rPr>
          <w:sz w:val="28"/>
          <w:szCs w:val="28"/>
        </w:rPr>
        <w:t xml:space="preserve">правовых </w:t>
      </w:r>
      <w:r>
        <w:rPr>
          <w:sz w:val="28"/>
          <w:szCs w:val="28"/>
        </w:rPr>
        <w:t xml:space="preserve">актов, </w:t>
      </w:r>
      <w:r w:rsidR="00281FD8">
        <w:rPr>
          <w:sz w:val="28"/>
          <w:szCs w:val="28"/>
        </w:rPr>
        <w:t xml:space="preserve">включающих </w:t>
      </w:r>
      <w:r w:rsidR="00281FD8" w:rsidRPr="00693F07">
        <w:rPr>
          <w:sz w:val="28"/>
          <w:szCs w:val="28"/>
        </w:rPr>
        <w:t xml:space="preserve">взносы на капитальный ремонт в обязательные неотъемлемые виды платы за жилое помещение, в структуре обращений в 2015 году появилась новая </w:t>
      </w:r>
      <w:r w:rsidR="00281FD8" w:rsidRPr="00693F07">
        <w:rPr>
          <w:sz w:val="28"/>
          <w:szCs w:val="28"/>
        </w:rPr>
        <w:lastRenderedPageBreak/>
        <w:t xml:space="preserve">тема – обращения по вопросам оплаты и формирования фонда капитального ремонта. </w:t>
      </w:r>
      <w:r w:rsidR="00B05DAA">
        <w:rPr>
          <w:sz w:val="28"/>
          <w:szCs w:val="28"/>
        </w:rPr>
        <w:t xml:space="preserve">Так, </w:t>
      </w:r>
      <w:r w:rsidR="00A36F48">
        <w:rPr>
          <w:sz w:val="28"/>
          <w:szCs w:val="28"/>
        </w:rPr>
        <w:t xml:space="preserve">за </w:t>
      </w:r>
      <w:r w:rsidR="00281FD8" w:rsidRPr="00693F07">
        <w:rPr>
          <w:sz w:val="28"/>
          <w:szCs w:val="28"/>
        </w:rPr>
        <w:t xml:space="preserve">2015 г. в инспекцию поступило </w:t>
      </w:r>
      <w:r w:rsidR="00FD1007">
        <w:rPr>
          <w:sz w:val="28"/>
          <w:szCs w:val="28"/>
        </w:rPr>
        <w:t>1478</w:t>
      </w:r>
      <w:r w:rsidR="00281FD8" w:rsidRPr="00693F07">
        <w:rPr>
          <w:sz w:val="28"/>
          <w:szCs w:val="28"/>
        </w:rPr>
        <w:t xml:space="preserve"> таких обращений (</w:t>
      </w:r>
      <w:r w:rsidR="00FD1007">
        <w:rPr>
          <w:sz w:val="28"/>
          <w:szCs w:val="28"/>
        </w:rPr>
        <w:t>9%)</w:t>
      </w:r>
      <w:r w:rsidR="00281FD8" w:rsidRPr="00693F07">
        <w:rPr>
          <w:sz w:val="28"/>
          <w:szCs w:val="28"/>
        </w:rPr>
        <w:t>.</w:t>
      </w:r>
    </w:p>
    <w:p w:rsidR="00A22A02" w:rsidRDefault="00A22A02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В целом тематика обращений граждан </w:t>
      </w:r>
      <w:r w:rsidR="00673455" w:rsidRPr="00257DB2">
        <w:rPr>
          <w:sz w:val="28"/>
          <w:szCs w:val="28"/>
        </w:rPr>
        <w:t xml:space="preserve">и организаций </w:t>
      </w:r>
      <w:r w:rsidRPr="00257DB2">
        <w:rPr>
          <w:sz w:val="28"/>
          <w:szCs w:val="28"/>
        </w:rPr>
        <w:t>выглядит следующим образом:</w:t>
      </w:r>
    </w:p>
    <w:tbl>
      <w:tblPr>
        <w:tblStyle w:val="ab"/>
        <w:tblW w:w="9073" w:type="dxa"/>
        <w:jc w:val="center"/>
        <w:tblInd w:w="108" w:type="dxa"/>
        <w:shd w:val="clear" w:color="auto" w:fill="FDE9D9" w:themeFill="accent6" w:themeFillTint="33"/>
        <w:tblLook w:val="04A0"/>
      </w:tblPr>
      <w:tblGrid>
        <w:gridCol w:w="6521"/>
        <w:gridCol w:w="1276"/>
        <w:gridCol w:w="1276"/>
      </w:tblGrid>
      <w:tr w:rsidR="00FC33BC" w:rsidRPr="005D3AEC" w:rsidTr="00FC33BC">
        <w:trPr>
          <w:jc w:val="center"/>
        </w:trPr>
        <w:tc>
          <w:tcPr>
            <w:tcW w:w="6521" w:type="dxa"/>
            <w:shd w:val="clear" w:color="auto" w:fill="FDE9D9" w:themeFill="accent6" w:themeFillTint="33"/>
          </w:tcPr>
          <w:p w:rsidR="00FC33BC" w:rsidRPr="00673455" w:rsidRDefault="00FC33BC" w:rsidP="004235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3455">
              <w:rPr>
                <w:rFonts w:ascii="Times New Roman" w:hAnsi="Times New Roman"/>
                <w:b/>
                <w:sz w:val="26"/>
                <w:szCs w:val="26"/>
              </w:rPr>
              <w:t>Тематика обращений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48399B" w:rsidRDefault="00FC33BC" w:rsidP="004235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399B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48399B">
              <w:rPr>
                <w:rFonts w:ascii="Times New Roman" w:hAnsi="Times New Roman"/>
                <w:b/>
                <w:bCs/>
              </w:rPr>
              <w:t xml:space="preserve"> год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48399B" w:rsidRDefault="00FC33BC" w:rsidP="00FC3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399B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48399B">
              <w:rPr>
                <w:rFonts w:ascii="Times New Roman" w:hAnsi="Times New Roman"/>
                <w:b/>
                <w:bCs/>
              </w:rPr>
              <w:t xml:space="preserve"> год</w:t>
            </w:r>
          </w:p>
        </w:tc>
      </w:tr>
      <w:tr w:rsidR="00FC33BC" w:rsidRPr="00A353CF" w:rsidTr="00FC33BC">
        <w:trPr>
          <w:jc w:val="center"/>
        </w:trPr>
        <w:tc>
          <w:tcPr>
            <w:tcW w:w="6521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both"/>
              <w:rPr>
                <w:rFonts w:ascii="Times New Roman" w:hAnsi="Times New Roman"/>
              </w:rPr>
            </w:pPr>
            <w:r w:rsidRPr="00A353CF">
              <w:rPr>
                <w:rFonts w:ascii="Times New Roman" w:hAnsi="Times New Roman"/>
              </w:rPr>
              <w:t>Техническое состояние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4680</w:t>
            </w:r>
          </w:p>
        </w:tc>
      </w:tr>
      <w:tr w:rsidR="00FC33BC" w:rsidRPr="00A353CF" w:rsidTr="00FC33BC">
        <w:trPr>
          <w:jc w:val="center"/>
        </w:trPr>
        <w:tc>
          <w:tcPr>
            <w:tcW w:w="6521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both"/>
              <w:rPr>
                <w:rFonts w:ascii="Times New Roman" w:hAnsi="Times New Roman"/>
              </w:rPr>
            </w:pPr>
            <w:r w:rsidRPr="00A353CF">
              <w:rPr>
                <w:rFonts w:ascii="Times New Roman" w:hAnsi="Times New Roman"/>
              </w:rPr>
              <w:t>Коммунальные услуги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1726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1814</w:t>
            </w:r>
          </w:p>
        </w:tc>
      </w:tr>
      <w:tr w:rsidR="00FC33BC" w:rsidRPr="00A353CF" w:rsidTr="00FC33BC">
        <w:trPr>
          <w:jc w:val="center"/>
        </w:trPr>
        <w:tc>
          <w:tcPr>
            <w:tcW w:w="6521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both"/>
              <w:rPr>
                <w:rFonts w:ascii="Times New Roman" w:hAnsi="Times New Roman"/>
              </w:rPr>
            </w:pPr>
            <w:r w:rsidRPr="00A353CF">
              <w:rPr>
                <w:rFonts w:ascii="Times New Roman" w:hAnsi="Times New Roman"/>
              </w:rPr>
              <w:t>Качество капремонта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FC33BC" w:rsidRPr="00A353CF" w:rsidTr="00FC33BC">
        <w:trPr>
          <w:jc w:val="center"/>
        </w:trPr>
        <w:tc>
          <w:tcPr>
            <w:tcW w:w="6521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both"/>
              <w:rPr>
                <w:rFonts w:ascii="Times New Roman" w:hAnsi="Times New Roman"/>
              </w:rPr>
            </w:pPr>
            <w:r w:rsidRPr="00A353CF">
              <w:rPr>
                <w:rFonts w:ascii="Times New Roman" w:hAnsi="Times New Roman"/>
              </w:rPr>
              <w:t>Перепланировка жилых помещений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  <w:tr w:rsidR="00FC33BC" w:rsidRPr="00A353CF" w:rsidTr="00FC33BC">
        <w:trPr>
          <w:jc w:val="center"/>
        </w:trPr>
        <w:tc>
          <w:tcPr>
            <w:tcW w:w="6521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both"/>
              <w:rPr>
                <w:rFonts w:ascii="Times New Roman" w:hAnsi="Times New Roman"/>
              </w:rPr>
            </w:pPr>
            <w:r w:rsidRPr="00A353CF">
              <w:rPr>
                <w:rFonts w:ascii="Times New Roman" w:hAnsi="Times New Roman"/>
              </w:rPr>
              <w:t>Перепланировка МОП и нежилых помещений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</w:tr>
      <w:tr w:rsidR="00FC33BC" w:rsidRPr="00A353CF" w:rsidTr="00FC33BC">
        <w:trPr>
          <w:jc w:val="center"/>
        </w:trPr>
        <w:tc>
          <w:tcPr>
            <w:tcW w:w="6521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Захват общего имущества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</w:tr>
      <w:tr w:rsidR="00FC33BC" w:rsidRPr="00A353CF" w:rsidTr="00FC33BC">
        <w:trPr>
          <w:jc w:val="center"/>
        </w:trPr>
        <w:tc>
          <w:tcPr>
            <w:tcW w:w="6521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 оплата в Фонд капитального ремонта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</w:t>
            </w:r>
          </w:p>
        </w:tc>
      </w:tr>
      <w:tr w:rsidR="00FC33BC" w:rsidRPr="00A353CF" w:rsidTr="00FC33BC">
        <w:trPr>
          <w:jc w:val="center"/>
        </w:trPr>
        <w:tc>
          <w:tcPr>
            <w:tcW w:w="6521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both"/>
              <w:rPr>
                <w:rFonts w:ascii="Times New Roman" w:hAnsi="Times New Roman"/>
              </w:rPr>
            </w:pPr>
            <w:r w:rsidRPr="00A353CF">
              <w:rPr>
                <w:rFonts w:ascii="Times New Roman" w:hAnsi="Times New Roman"/>
              </w:rPr>
              <w:t>Оплата (тарифы, перерасчет)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4124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5634</w:t>
            </w:r>
          </w:p>
        </w:tc>
      </w:tr>
      <w:tr w:rsidR="00FC33BC" w:rsidRPr="00A353CF" w:rsidTr="00FC33BC">
        <w:trPr>
          <w:jc w:val="center"/>
        </w:trPr>
        <w:tc>
          <w:tcPr>
            <w:tcW w:w="6521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both"/>
              <w:rPr>
                <w:rFonts w:ascii="Times New Roman" w:hAnsi="Times New Roman"/>
              </w:rPr>
            </w:pPr>
            <w:r w:rsidRPr="00A353CF">
              <w:rPr>
                <w:rFonts w:ascii="Times New Roman" w:hAnsi="Times New Roman"/>
              </w:rPr>
              <w:t>Правовая основа управления</w:t>
            </w:r>
            <w:r>
              <w:rPr>
                <w:rFonts w:ascii="Times New Roman" w:hAnsi="Times New Roman"/>
              </w:rPr>
              <w:t xml:space="preserve"> многоквартирным домом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1333</w:t>
            </w:r>
          </w:p>
        </w:tc>
      </w:tr>
      <w:tr w:rsidR="00FC33BC" w:rsidRPr="00A353CF" w:rsidTr="00FC33BC">
        <w:trPr>
          <w:jc w:val="center"/>
        </w:trPr>
        <w:tc>
          <w:tcPr>
            <w:tcW w:w="6521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both"/>
              <w:rPr>
                <w:rFonts w:ascii="Times New Roman" w:hAnsi="Times New Roman"/>
              </w:rPr>
            </w:pPr>
            <w:r w:rsidRPr="00A353CF">
              <w:rPr>
                <w:rFonts w:ascii="Times New Roman" w:hAnsi="Times New Roman"/>
              </w:rPr>
              <w:t>Не в компетенции</w:t>
            </w:r>
            <w:r>
              <w:rPr>
                <w:rFonts w:ascii="Times New Roman" w:hAnsi="Times New Roman"/>
              </w:rPr>
              <w:t xml:space="preserve"> инспекции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A353CF" w:rsidRDefault="00FC33BC" w:rsidP="004235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</w:t>
            </w:r>
          </w:p>
        </w:tc>
      </w:tr>
      <w:tr w:rsidR="00FC33BC" w:rsidRPr="00005BB9" w:rsidTr="00FC33BC">
        <w:trPr>
          <w:trHeight w:val="446"/>
          <w:jc w:val="center"/>
        </w:trPr>
        <w:tc>
          <w:tcPr>
            <w:tcW w:w="6521" w:type="dxa"/>
            <w:shd w:val="clear" w:color="auto" w:fill="FDE9D9" w:themeFill="accent6" w:themeFillTint="33"/>
          </w:tcPr>
          <w:p w:rsidR="00FC33BC" w:rsidRPr="00005BB9" w:rsidRDefault="00FC33BC" w:rsidP="0042359A">
            <w:pPr>
              <w:jc w:val="both"/>
              <w:rPr>
                <w:rFonts w:ascii="Times New Roman" w:hAnsi="Times New Roman"/>
                <w:b/>
              </w:rPr>
            </w:pPr>
            <w:r w:rsidRPr="00005BB9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005BB9" w:rsidRDefault="00FC33BC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11033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C33BC" w:rsidRPr="00005BB9" w:rsidRDefault="00FC33BC" w:rsidP="0042359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15704</w:t>
            </w:r>
          </w:p>
        </w:tc>
      </w:tr>
    </w:tbl>
    <w:p w:rsidR="0027204C" w:rsidRDefault="0027204C" w:rsidP="00E63043">
      <w:pPr>
        <w:pStyle w:val="30"/>
        <w:spacing w:line="276" w:lineRule="auto"/>
        <w:rPr>
          <w:sz w:val="28"/>
          <w:szCs w:val="28"/>
        </w:rPr>
      </w:pPr>
    </w:p>
    <w:p w:rsidR="00E63043" w:rsidRDefault="00E63043" w:rsidP="00E63043">
      <w:pPr>
        <w:pStyle w:val="3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Более наглядно </w:t>
      </w:r>
      <w:r w:rsidRPr="00257DB2">
        <w:rPr>
          <w:sz w:val="28"/>
          <w:szCs w:val="28"/>
        </w:rPr>
        <w:t xml:space="preserve">тематика </w:t>
      </w:r>
      <w:r w:rsidR="003C7FC2">
        <w:rPr>
          <w:sz w:val="28"/>
          <w:szCs w:val="28"/>
        </w:rPr>
        <w:t xml:space="preserve">поступивших </w:t>
      </w:r>
      <w:r w:rsidRPr="00257DB2">
        <w:rPr>
          <w:sz w:val="28"/>
          <w:szCs w:val="28"/>
        </w:rPr>
        <w:t>обращений граждан и организаций</w:t>
      </w:r>
      <w:r>
        <w:rPr>
          <w:sz w:val="28"/>
          <w:szCs w:val="28"/>
        </w:rPr>
        <w:t xml:space="preserve"> представлена на следующей диаграмме:</w:t>
      </w:r>
    </w:p>
    <w:p w:rsidR="006B32A1" w:rsidRDefault="003C7FC2" w:rsidP="00E63043">
      <w:pPr>
        <w:pStyle w:val="30"/>
        <w:spacing w:line="360" w:lineRule="auto"/>
        <w:ind w:firstLine="0"/>
        <w:rPr>
          <w:sz w:val="28"/>
          <w:szCs w:val="28"/>
        </w:rPr>
      </w:pPr>
      <w:r w:rsidRPr="003C7FC2">
        <w:rPr>
          <w:noProof/>
          <w:sz w:val="28"/>
          <w:szCs w:val="28"/>
        </w:rPr>
        <w:drawing>
          <wp:inline distT="0" distB="0" distL="0" distR="0">
            <wp:extent cx="5940425" cy="3475722"/>
            <wp:effectExtent l="38100" t="19050" r="222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22A02" w:rsidRDefault="00A22A02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>При рассмотрении обращений проведен</w:t>
      </w:r>
      <w:r w:rsidR="00736A4F">
        <w:rPr>
          <w:sz w:val="28"/>
          <w:szCs w:val="28"/>
        </w:rPr>
        <w:t>о</w:t>
      </w:r>
      <w:r w:rsidR="00C2172D" w:rsidRPr="00C2172D">
        <w:rPr>
          <w:sz w:val="28"/>
          <w:szCs w:val="28"/>
        </w:rPr>
        <w:t xml:space="preserve"> </w:t>
      </w:r>
      <w:r w:rsidR="00357A39">
        <w:rPr>
          <w:sz w:val="28"/>
          <w:szCs w:val="28"/>
        </w:rPr>
        <w:t>3853</w:t>
      </w:r>
      <w:r w:rsidRPr="00257DB2">
        <w:rPr>
          <w:sz w:val="28"/>
          <w:szCs w:val="28"/>
        </w:rPr>
        <w:t xml:space="preserve"> внепланов</w:t>
      </w:r>
      <w:r w:rsidR="00736A4F">
        <w:rPr>
          <w:sz w:val="28"/>
          <w:szCs w:val="28"/>
        </w:rPr>
        <w:t>ых</w:t>
      </w:r>
      <w:r w:rsidRPr="00257DB2">
        <w:rPr>
          <w:sz w:val="28"/>
          <w:szCs w:val="28"/>
        </w:rPr>
        <w:t xml:space="preserve"> провер</w:t>
      </w:r>
      <w:r w:rsidR="001A430C">
        <w:rPr>
          <w:sz w:val="28"/>
          <w:szCs w:val="28"/>
        </w:rPr>
        <w:t>ок</w:t>
      </w:r>
      <w:r w:rsidR="00257DB2" w:rsidRPr="00257DB2">
        <w:rPr>
          <w:sz w:val="28"/>
          <w:szCs w:val="28"/>
        </w:rPr>
        <w:t xml:space="preserve"> по </w:t>
      </w:r>
      <w:r w:rsidR="00357A39">
        <w:rPr>
          <w:sz w:val="28"/>
          <w:szCs w:val="28"/>
        </w:rPr>
        <w:t>6987</w:t>
      </w:r>
      <w:r w:rsidR="00257DB2" w:rsidRPr="00257DB2">
        <w:rPr>
          <w:sz w:val="28"/>
          <w:szCs w:val="28"/>
        </w:rPr>
        <w:t xml:space="preserve"> обращени</w:t>
      </w:r>
      <w:r w:rsidR="00736A4F">
        <w:rPr>
          <w:sz w:val="28"/>
          <w:szCs w:val="28"/>
        </w:rPr>
        <w:t>ям</w:t>
      </w:r>
      <w:r w:rsidRPr="00257DB2">
        <w:rPr>
          <w:sz w:val="28"/>
          <w:szCs w:val="28"/>
        </w:rPr>
        <w:t xml:space="preserve">, в том числе </w:t>
      </w:r>
      <w:r w:rsidR="00357A39">
        <w:rPr>
          <w:sz w:val="28"/>
          <w:szCs w:val="28"/>
        </w:rPr>
        <w:t>2513</w:t>
      </w:r>
      <w:r w:rsidRPr="00257DB2">
        <w:rPr>
          <w:sz w:val="28"/>
          <w:szCs w:val="28"/>
        </w:rPr>
        <w:t xml:space="preserve"> </w:t>
      </w:r>
      <w:r w:rsidR="004F6FB9">
        <w:rPr>
          <w:sz w:val="28"/>
          <w:szCs w:val="28"/>
        </w:rPr>
        <w:t>–</w:t>
      </w:r>
      <w:r w:rsidRPr="00257DB2">
        <w:rPr>
          <w:sz w:val="28"/>
          <w:szCs w:val="28"/>
        </w:rPr>
        <w:t xml:space="preserve"> выездных, </w:t>
      </w:r>
      <w:r w:rsidR="00357A39">
        <w:rPr>
          <w:sz w:val="28"/>
          <w:szCs w:val="28"/>
        </w:rPr>
        <w:t>1318</w:t>
      </w:r>
      <w:r w:rsidRPr="00257DB2">
        <w:rPr>
          <w:sz w:val="28"/>
          <w:szCs w:val="28"/>
        </w:rPr>
        <w:t xml:space="preserve"> </w:t>
      </w:r>
      <w:r w:rsidR="004F6FB9">
        <w:rPr>
          <w:sz w:val="28"/>
          <w:szCs w:val="28"/>
        </w:rPr>
        <w:t>–</w:t>
      </w:r>
      <w:r w:rsidRPr="00257DB2">
        <w:rPr>
          <w:sz w:val="28"/>
          <w:szCs w:val="28"/>
        </w:rPr>
        <w:t xml:space="preserve"> документарных. Обследовано </w:t>
      </w:r>
      <w:r w:rsidR="00357A39">
        <w:rPr>
          <w:sz w:val="28"/>
          <w:szCs w:val="28"/>
        </w:rPr>
        <w:t>2505</w:t>
      </w:r>
      <w:r w:rsidRPr="00257DB2">
        <w:rPr>
          <w:sz w:val="28"/>
          <w:szCs w:val="28"/>
        </w:rPr>
        <w:t xml:space="preserve"> дом</w:t>
      </w:r>
      <w:r w:rsidR="004F6FB9">
        <w:rPr>
          <w:sz w:val="28"/>
          <w:szCs w:val="28"/>
        </w:rPr>
        <w:t>ов</w:t>
      </w:r>
      <w:r w:rsidRPr="00257DB2">
        <w:rPr>
          <w:sz w:val="28"/>
          <w:szCs w:val="28"/>
        </w:rPr>
        <w:t xml:space="preserve"> общей площадью </w:t>
      </w:r>
      <w:r w:rsidR="00357A39">
        <w:rPr>
          <w:sz w:val="28"/>
          <w:szCs w:val="28"/>
        </w:rPr>
        <w:t>21,403</w:t>
      </w:r>
      <w:r w:rsidR="004041D6">
        <w:rPr>
          <w:sz w:val="28"/>
          <w:szCs w:val="28"/>
        </w:rPr>
        <w:t xml:space="preserve"> </w:t>
      </w:r>
      <w:r w:rsidR="00357A39">
        <w:rPr>
          <w:sz w:val="28"/>
          <w:szCs w:val="28"/>
        </w:rPr>
        <w:t>млн</w:t>
      </w:r>
      <w:r w:rsidRPr="00257DB2">
        <w:rPr>
          <w:sz w:val="28"/>
          <w:szCs w:val="28"/>
        </w:rPr>
        <w:t xml:space="preserve">.кв.м. </w:t>
      </w:r>
      <w:r w:rsidR="00357A39">
        <w:rPr>
          <w:sz w:val="28"/>
          <w:szCs w:val="28"/>
        </w:rPr>
        <w:t>В</w:t>
      </w:r>
      <w:r w:rsidRPr="00257DB2">
        <w:rPr>
          <w:sz w:val="28"/>
          <w:szCs w:val="28"/>
        </w:rPr>
        <w:t xml:space="preserve">ыявлено </w:t>
      </w:r>
      <w:r w:rsidR="00357A39">
        <w:rPr>
          <w:sz w:val="28"/>
          <w:szCs w:val="28"/>
        </w:rPr>
        <w:t>3957</w:t>
      </w:r>
      <w:r w:rsidRPr="00257DB2">
        <w:rPr>
          <w:sz w:val="28"/>
          <w:szCs w:val="28"/>
        </w:rPr>
        <w:t xml:space="preserve"> нарушени</w:t>
      </w:r>
      <w:r w:rsidR="004F6FB9">
        <w:rPr>
          <w:sz w:val="28"/>
          <w:szCs w:val="28"/>
        </w:rPr>
        <w:t>й</w:t>
      </w:r>
      <w:r w:rsidRPr="00257DB2">
        <w:rPr>
          <w:sz w:val="28"/>
          <w:szCs w:val="28"/>
        </w:rPr>
        <w:t xml:space="preserve">, из которых </w:t>
      </w:r>
      <w:r w:rsidR="00357A39">
        <w:rPr>
          <w:sz w:val="28"/>
          <w:szCs w:val="28"/>
        </w:rPr>
        <w:t>3351</w:t>
      </w:r>
      <w:r w:rsidRPr="00257DB2">
        <w:rPr>
          <w:sz w:val="28"/>
          <w:szCs w:val="28"/>
        </w:rPr>
        <w:t xml:space="preserve"> подлежат устранению по договору управления. </w:t>
      </w:r>
      <w:r w:rsidR="00357A39">
        <w:rPr>
          <w:sz w:val="28"/>
          <w:szCs w:val="28"/>
        </w:rPr>
        <w:t>606</w:t>
      </w:r>
      <w:r w:rsidRPr="00257DB2">
        <w:rPr>
          <w:sz w:val="28"/>
          <w:szCs w:val="28"/>
        </w:rPr>
        <w:t xml:space="preserve"> нарушени</w:t>
      </w:r>
      <w:r w:rsidR="007379A8" w:rsidRPr="00257DB2">
        <w:rPr>
          <w:sz w:val="28"/>
          <w:szCs w:val="28"/>
        </w:rPr>
        <w:t>й</w:t>
      </w:r>
      <w:r w:rsidRPr="00257DB2">
        <w:rPr>
          <w:sz w:val="28"/>
          <w:szCs w:val="28"/>
        </w:rPr>
        <w:t xml:space="preserve"> в перечень работ и услуг, предусмотренных договором управления, не вошли и могут быть устранены только по решению общего собрания собственников помещений с определением дополнительного </w:t>
      </w:r>
      <w:r w:rsidRPr="00257DB2">
        <w:rPr>
          <w:sz w:val="28"/>
          <w:szCs w:val="28"/>
        </w:rPr>
        <w:lastRenderedPageBreak/>
        <w:t>источника финансирования</w:t>
      </w:r>
      <w:r w:rsidR="00357A39">
        <w:rPr>
          <w:sz w:val="28"/>
          <w:szCs w:val="28"/>
        </w:rPr>
        <w:t>, а</w:t>
      </w:r>
      <w:r w:rsidRPr="00257DB2">
        <w:rPr>
          <w:sz w:val="28"/>
          <w:szCs w:val="28"/>
        </w:rPr>
        <w:t xml:space="preserve"> </w:t>
      </w:r>
      <w:r w:rsidR="00357A39">
        <w:rPr>
          <w:sz w:val="28"/>
          <w:szCs w:val="28"/>
        </w:rPr>
        <w:t xml:space="preserve">1238 </w:t>
      </w:r>
      <w:r w:rsidR="001A430C">
        <w:rPr>
          <w:sz w:val="28"/>
          <w:szCs w:val="28"/>
        </w:rPr>
        <w:t>нарушени</w:t>
      </w:r>
      <w:r w:rsidR="00357A39">
        <w:rPr>
          <w:sz w:val="28"/>
          <w:szCs w:val="28"/>
        </w:rPr>
        <w:t>й</w:t>
      </w:r>
      <w:r w:rsidR="001A430C">
        <w:rPr>
          <w:sz w:val="28"/>
          <w:szCs w:val="28"/>
        </w:rPr>
        <w:t xml:space="preserve"> были устранены до проведения проверок</w:t>
      </w:r>
      <w:r w:rsidR="004F6FB9">
        <w:rPr>
          <w:sz w:val="28"/>
          <w:szCs w:val="28"/>
        </w:rPr>
        <w:t>.</w:t>
      </w:r>
    </w:p>
    <w:p w:rsidR="00357A39" w:rsidRPr="009621A6" w:rsidRDefault="00357A39" w:rsidP="00357A39">
      <w:pPr>
        <w:pStyle w:val="30"/>
        <w:spacing w:line="276" w:lineRule="auto"/>
        <w:rPr>
          <w:sz w:val="28"/>
          <w:szCs w:val="28"/>
        </w:rPr>
      </w:pPr>
      <w:r w:rsidRPr="009621A6">
        <w:rPr>
          <w:sz w:val="28"/>
          <w:szCs w:val="28"/>
        </w:rPr>
        <w:t xml:space="preserve">Наибольшее число выявленных нарушений связано с неудовлетворительным состоянием и ремонтов фасадов многоквартирных домов – </w:t>
      </w:r>
      <w:r>
        <w:rPr>
          <w:sz w:val="28"/>
          <w:szCs w:val="28"/>
        </w:rPr>
        <w:t>21</w:t>
      </w:r>
      <w:r w:rsidRPr="009621A6">
        <w:rPr>
          <w:sz w:val="28"/>
          <w:szCs w:val="28"/>
        </w:rPr>
        <w:t xml:space="preserve">% от общего числа нарушений, </w:t>
      </w:r>
      <w:r>
        <w:rPr>
          <w:sz w:val="28"/>
          <w:szCs w:val="28"/>
        </w:rPr>
        <w:t xml:space="preserve">оплата и тарифы – 19%, </w:t>
      </w:r>
      <w:r w:rsidRPr="009621A6">
        <w:rPr>
          <w:sz w:val="28"/>
          <w:szCs w:val="28"/>
        </w:rPr>
        <w:t xml:space="preserve">ненадлежащим содержанием мест общего пользования – </w:t>
      </w:r>
      <w:r>
        <w:rPr>
          <w:sz w:val="28"/>
          <w:szCs w:val="28"/>
        </w:rPr>
        <w:t>17</w:t>
      </w:r>
      <w:r w:rsidRPr="009621A6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Pr="009621A6">
        <w:rPr>
          <w:sz w:val="28"/>
          <w:szCs w:val="28"/>
        </w:rPr>
        <w:t xml:space="preserve">кровли – </w:t>
      </w:r>
      <w:r>
        <w:rPr>
          <w:sz w:val="28"/>
          <w:szCs w:val="28"/>
        </w:rPr>
        <w:t>14</w:t>
      </w:r>
      <w:r w:rsidRPr="009621A6">
        <w:rPr>
          <w:sz w:val="28"/>
          <w:szCs w:val="28"/>
        </w:rPr>
        <w:t>%, инжене</w:t>
      </w:r>
      <w:r>
        <w:rPr>
          <w:sz w:val="28"/>
          <w:szCs w:val="28"/>
        </w:rPr>
        <w:t>рного оборудования – 12%</w:t>
      </w:r>
      <w:r w:rsidRPr="009621A6">
        <w:rPr>
          <w:sz w:val="28"/>
          <w:szCs w:val="28"/>
        </w:rPr>
        <w:t>.</w:t>
      </w:r>
    </w:p>
    <w:p w:rsidR="006C31D7" w:rsidRPr="00257DB2" w:rsidRDefault="006C31D7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При рассмотрении обращений оформлено </w:t>
      </w:r>
      <w:r w:rsidR="00357A39">
        <w:rPr>
          <w:sz w:val="28"/>
          <w:szCs w:val="28"/>
        </w:rPr>
        <w:t>6134</w:t>
      </w:r>
      <w:r w:rsidRPr="00257DB2">
        <w:rPr>
          <w:sz w:val="28"/>
          <w:szCs w:val="28"/>
        </w:rPr>
        <w:t xml:space="preserve"> исполнительных документ</w:t>
      </w:r>
      <w:r w:rsidR="00357A39">
        <w:rPr>
          <w:sz w:val="28"/>
          <w:szCs w:val="28"/>
        </w:rPr>
        <w:t>а</w:t>
      </w:r>
      <w:r w:rsidRPr="00257DB2">
        <w:rPr>
          <w:sz w:val="28"/>
          <w:szCs w:val="28"/>
        </w:rPr>
        <w:t xml:space="preserve">, в том числе: </w:t>
      </w:r>
      <w:r w:rsidR="00357A39">
        <w:rPr>
          <w:sz w:val="28"/>
          <w:szCs w:val="28"/>
        </w:rPr>
        <w:t>3831</w:t>
      </w:r>
      <w:r w:rsidRPr="00257DB2">
        <w:rPr>
          <w:sz w:val="28"/>
          <w:szCs w:val="28"/>
        </w:rPr>
        <w:t xml:space="preserve"> акт, </w:t>
      </w:r>
      <w:r w:rsidR="00357A39">
        <w:rPr>
          <w:sz w:val="28"/>
          <w:szCs w:val="28"/>
        </w:rPr>
        <w:t>918</w:t>
      </w:r>
      <w:r w:rsidRPr="00257DB2">
        <w:rPr>
          <w:sz w:val="28"/>
          <w:szCs w:val="28"/>
        </w:rPr>
        <w:t xml:space="preserve"> протоколов,  выдано </w:t>
      </w:r>
      <w:r w:rsidR="00357A39">
        <w:rPr>
          <w:sz w:val="28"/>
          <w:szCs w:val="28"/>
        </w:rPr>
        <w:t>1385</w:t>
      </w:r>
      <w:r w:rsidRPr="00257DB2">
        <w:rPr>
          <w:sz w:val="28"/>
          <w:szCs w:val="28"/>
        </w:rPr>
        <w:t xml:space="preserve"> предписани</w:t>
      </w:r>
      <w:r w:rsidR="00693F07">
        <w:rPr>
          <w:sz w:val="28"/>
          <w:szCs w:val="28"/>
        </w:rPr>
        <w:t>й</w:t>
      </w:r>
      <w:r w:rsidRPr="00257DB2">
        <w:rPr>
          <w:sz w:val="28"/>
          <w:szCs w:val="28"/>
        </w:rPr>
        <w:t xml:space="preserve"> на устранение </w:t>
      </w:r>
      <w:r w:rsidR="00357A39">
        <w:rPr>
          <w:sz w:val="28"/>
          <w:szCs w:val="28"/>
        </w:rPr>
        <w:t>2113</w:t>
      </w:r>
      <w:r w:rsidRPr="00257DB2">
        <w:rPr>
          <w:sz w:val="28"/>
          <w:szCs w:val="28"/>
        </w:rPr>
        <w:t xml:space="preserve"> нарушени</w:t>
      </w:r>
      <w:r w:rsidR="00C2172D">
        <w:rPr>
          <w:sz w:val="28"/>
          <w:szCs w:val="28"/>
        </w:rPr>
        <w:t>й</w:t>
      </w:r>
      <w:r w:rsidRPr="00257DB2">
        <w:rPr>
          <w:sz w:val="28"/>
          <w:szCs w:val="28"/>
        </w:rPr>
        <w:t>.</w:t>
      </w:r>
    </w:p>
    <w:p w:rsidR="00933DA7" w:rsidRPr="00257DB2" w:rsidRDefault="00933DA7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По </w:t>
      </w:r>
      <w:r w:rsidR="00357A39">
        <w:rPr>
          <w:sz w:val="28"/>
          <w:szCs w:val="28"/>
        </w:rPr>
        <w:t>9691</w:t>
      </w:r>
      <w:r w:rsidR="00C2172D">
        <w:rPr>
          <w:sz w:val="28"/>
          <w:szCs w:val="28"/>
        </w:rPr>
        <w:t xml:space="preserve"> </w:t>
      </w:r>
      <w:r w:rsidR="00E12C24" w:rsidRPr="00257DB2">
        <w:rPr>
          <w:sz w:val="28"/>
          <w:szCs w:val="28"/>
        </w:rPr>
        <w:t>обращениям</w:t>
      </w:r>
      <w:r w:rsidRPr="00257DB2">
        <w:rPr>
          <w:sz w:val="28"/>
          <w:szCs w:val="28"/>
        </w:rPr>
        <w:t xml:space="preserve"> заявителям направлены ответы с разъяснением действующего законодательства</w:t>
      </w:r>
      <w:r w:rsidR="00510094" w:rsidRPr="00257DB2">
        <w:rPr>
          <w:sz w:val="28"/>
          <w:szCs w:val="28"/>
        </w:rPr>
        <w:t>.</w:t>
      </w:r>
    </w:p>
    <w:p w:rsidR="001F0923" w:rsidRPr="00257DB2" w:rsidRDefault="001F0923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Одним из основных критериев эффективности работы подконтрольных организаций является своевременность исполнения предписаний </w:t>
      </w:r>
      <w:r w:rsidR="009872AD" w:rsidRPr="00257DB2">
        <w:rPr>
          <w:sz w:val="28"/>
          <w:szCs w:val="28"/>
        </w:rPr>
        <w:t xml:space="preserve">жилищной </w:t>
      </w:r>
      <w:r w:rsidRPr="00257DB2">
        <w:rPr>
          <w:sz w:val="28"/>
          <w:szCs w:val="28"/>
        </w:rPr>
        <w:t xml:space="preserve">инспекции по устранению дефектов в жилых домах. </w:t>
      </w:r>
    </w:p>
    <w:p w:rsidR="00F2783E" w:rsidRPr="00F2783E" w:rsidRDefault="00F2783E" w:rsidP="00693F07">
      <w:pPr>
        <w:pStyle w:val="30"/>
        <w:spacing w:line="276" w:lineRule="auto"/>
        <w:rPr>
          <w:sz w:val="28"/>
          <w:szCs w:val="28"/>
        </w:rPr>
      </w:pPr>
      <w:r w:rsidRPr="00F2783E">
        <w:rPr>
          <w:sz w:val="28"/>
          <w:szCs w:val="28"/>
        </w:rPr>
        <w:t xml:space="preserve">Устранению в отчетном периоде подлежало </w:t>
      </w:r>
      <w:r w:rsidR="00357A39">
        <w:rPr>
          <w:sz w:val="28"/>
          <w:szCs w:val="28"/>
        </w:rPr>
        <w:t>3079</w:t>
      </w:r>
      <w:r w:rsidRPr="00F2783E">
        <w:rPr>
          <w:sz w:val="28"/>
          <w:szCs w:val="28"/>
        </w:rPr>
        <w:t xml:space="preserve"> нарушени</w:t>
      </w:r>
      <w:r w:rsidR="00693F07">
        <w:rPr>
          <w:sz w:val="28"/>
          <w:szCs w:val="28"/>
        </w:rPr>
        <w:t>й</w:t>
      </w:r>
      <w:r w:rsidRPr="00F2783E">
        <w:rPr>
          <w:sz w:val="28"/>
          <w:szCs w:val="28"/>
        </w:rPr>
        <w:t xml:space="preserve">, из которых управляющими организациями устранено </w:t>
      </w:r>
      <w:r w:rsidR="00357A39">
        <w:rPr>
          <w:sz w:val="28"/>
          <w:szCs w:val="28"/>
        </w:rPr>
        <w:t>2517</w:t>
      </w:r>
      <w:r w:rsidRPr="00F2783E">
        <w:rPr>
          <w:sz w:val="28"/>
          <w:szCs w:val="28"/>
        </w:rPr>
        <w:t xml:space="preserve"> (</w:t>
      </w:r>
      <w:r w:rsidR="00357A39">
        <w:rPr>
          <w:sz w:val="28"/>
          <w:szCs w:val="28"/>
        </w:rPr>
        <w:t>81</w:t>
      </w:r>
      <w:r w:rsidR="001A430C">
        <w:rPr>
          <w:sz w:val="28"/>
          <w:szCs w:val="28"/>
        </w:rPr>
        <w:t>,7</w:t>
      </w:r>
      <w:r w:rsidR="008C146C">
        <w:rPr>
          <w:sz w:val="28"/>
          <w:szCs w:val="28"/>
        </w:rPr>
        <w:t xml:space="preserve">%), в т.ч. </w:t>
      </w:r>
      <w:r w:rsidR="00357A39">
        <w:rPr>
          <w:sz w:val="28"/>
          <w:szCs w:val="28"/>
        </w:rPr>
        <w:t>1238 (49%)</w:t>
      </w:r>
      <w:r w:rsidR="008C146C">
        <w:rPr>
          <w:sz w:val="28"/>
          <w:szCs w:val="28"/>
        </w:rPr>
        <w:t xml:space="preserve"> после получения уведомления о предстоящей проверке, а </w:t>
      </w:r>
      <w:r w:rsidR="00357A39">
        <w:rPr>
          <w:sz w:val="28"/>
          <w:szCs w:val="28"/>
        </w:rPr>
        <w:t>1279 (51%)</w:t>
      </w:r>
      <w:r w:rsidR="008C146C">
        <w:rPr>
          <w:sz w:val="28"/>
          <w:szCs w:val="28"/>
        </w:rPr>
        <w:t xml:space="preserve"> – в ходе выполнения выданных предписаний.</w:t>
      </w:r>
    </w:p>
    <w:p w:rsidR="00357A39" w:rsidRPr="00087E95" w:rsidRDefault="00357A39" w:rsidP="00357A39">
      <w:pPr>
        <w:pStyle w:val="3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что, с введением в текущем году обязательного лицензирования управляющих организаций, ситуация на рынке предоставления жилищно-коммунальных услуг значительно улучшилась. Это выражается в первую очередь в оперативном устранении управляющими организациями нарушений до выхода инспектора на проверку – после получения уведомления о предстоящей проверке или запроса жилищной инспекции. Так, если за 9 месяцев 2015 г. подобным образом было устранено 410 нарушений, то только за 4 квартал 2015 г. – уже 828, что в 2 раза больше. </w:t>
      </w:r>
      <w:r w:rsidRPr="006D76CA">
        <w:rPr>
          <w:sz w:val="28"/>
          <w:szCs w:val="28"/>
        </w:rPr>
        <w:t>В последующие периоды, по нашим прогнозам, указанная тенден</w:t>
      </w:r>
      <w:r>
        <w:rPr>
          <w:sz w:val="28"/>
          <w:szCs w:val="28"/>
        </w:rPr>
        <w:t>ц</w:t>
      </w:r>
      <w:r w:rsidRPr="006D76CA">
        <w:rPr>
          <w:sz w:val="28"/>
          <w:szCs w:val="28"/>
        </w:rPr>
        <w:t>ия продолжит возрастать.</w:t>
      </w:r>
      <w:r>
        <w:rPr>
          <w:sz w:val="28"/>
          <w:szCs w:val="28"/>
        </w:rPr>
        <w:t xml:space="preserve"> </w:t>
      </w:r>
    </w:p>
    <w:p w:rsidR="00323920" w:rsidRDefault="00323920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 xml:space="preserve">В отчетном периоде проверено выполнение </w:t>
      </w:r>
      <w:r w:rsidR="00C07D85">
        <w:rPr>
          <w:sz w:val="28"/>
          <w:szCs w:val="28"/>
        </w:rPr>
        <w:t>1118</w:t>
      </w:r>
      <w:r w:rsidRPr="00257DB2">
        <w:rPr>
          <w:sz w:val="28"/>
          <w:szCs w:val="28"/>
        </w:rPr>
        <w:t xml:space="preserve"> предписани</w:t>
      </w:r>
      <w:r w:rsidR="00244DC3">
        <w:rPr>
          <w:sz w:val="28"/>
          <w:szCs w:val="28"/>
        </w:rPr>
        <w:t>й</w:t>
      </w:r>
      <w:r w:rsidRPr="00257DB2">
        <w:rPr>
          <w:sz w:val="28"/>
          <w:szCs w:val="28"/>
        </w:rPr>
        <w:t xml:space="preserve"> на </w:t>
      </w:r>
      <w:r w:rsidR="00C07D85">
        <w:rPr>
          <w:sz w:val="28"/>
          <w:szCs w:val="28"/>
        </w:rPr>
        <w:t>829</w:t>
      </w:r>
      <w:r w:rsidRPr="00257DB2">
        <w:rPr>
          <w:sz w:val="28"/>
          <w:szCs w:val="28"/>
        </w:rPr>
        <w:t xml:space="preserve"> дом</w:t>
      </w:r>
      <w:r w:rsidR="006C31D7" w:rsidRPr="00257DB2">
        <w:rPr>
          <w:sz w:val="28"/>
          <w:szCs w:val="28"/>
        </w:rPr>
        <w:t>ах</w:t>
      </w:r>
      <w:r w:rsidRPr="00257DB2">
        <w:rPr>
          <w:sz w:val="28"/>
          <w:szCs w:val="28"/>
        </w:rPr>
        <w:t xml:space="preserve"> общей площадью </w:t>
      </w:r>
      <w:r w:rsidR="00C07D85">
        <w:rPr>
          <w:sz w:val="28"/>
          <w:szCs w:val="28"/>
        </w:rPr>
        <w:t>6,116</w:t>
      </w:r>
      <w:r w:rsidR="004041D6">
        <w:rPr>
          <w:sz w:val="28"/>
          <w:szCs w:val="28"/>
        </w:rPr>
        <w:t xml:space="preserve"> </w:t>
      </w:r>
      <w:r w:rsidR="00C07D85">
        <w:rPr>
          <w:sz w:val="28"/>
          <w:szCs w:val="28"/>
        </w:rPr>
        <w:t>млн</w:t>
      </w:r>
      <w:r w:rsidRPr="00257DB2">
        <w:rPr>
          <w:sz w:val="28"/>
          <w:szCs w:val="28"/>
        </w:rPr>
        <w:t xml:space="preserve">.кв.м. В полном объеме выполнено </w:t>
      </w:r>
      <w:r w:rsidR="00C07D85">
        <w:rPr>
          <w:sz w:val="28"/>
          <w:szCs w:val="28"/>
        </w:rPr>
        <w:t>967</w:t>
      </w:r>
      <w:r w:rsidRPr="00257DB2">
        <w:rPr>
          <w:sz w:val="28"/>
          <w:szCs w:val="28"/>
        </w:rPr>
        <w:t xml:space="preserve"> предписани</w:t>
      </w:r>
      <w:r w:rsidR="00C2172D">
        <w:rPr>
          <w:sz w:val="28"/>
          <w:szCs w:val="28"/>
        </w:rPr>
        <w:t>й</w:t>
      </w:r>
      <w:r w:rsidRPr="00257DB2">
        <w:rPr>
          <w:sz w:val="28"/>
          <w:szCs w:val="28"/>
        </w:rPr>
        <w:t xml:space="preserve">, что составляет </w:t>
      </w:r>
      <w:r w:rsidR="00C07D85">
        <w:rPr>
          <w:sz w:val="28"/>
          <w:szCs w:val="28"/>
        </w:rPr>
        <w:t>62,3</w:t>
      </w:r>
      <w:r w:rsidRPr="00257DB2">
        <w:rPr>
          <w:sz w:val="28"/>
          <w:szCs w:val="28"/>
        </w:rPr>
        <w:t xml:space="preserve">% от общего числа проверенных, оформлено </w:t>
      </w:r>
      <w:r w:rsidR="00C07D85">
        <w:rPr>
          <w:sz w:val="28"/>
          <w:szCs w:val="28"/>
        </w:rPr>
        <w:t>1539</w:t>
      </w:r>
      <w:r w:rsidRPr="00257DB2">
        <w:rPr>
          <w:sz w:val="28"/>
          <w:szCs w:val="28"/>
        </w:rPr>
        <w:t xml:space="preserve"> исполнительных документов, в том числе: </w:t>
      </w:r>
      <w:r w:rsidR="00C07D85">
        <w:rPr>
          <w:sz w:val="28"/>
          <w:szCs w:val="28"/>
        </w:rPr>
        <w:t>421</w:t>
      </w:r>
      <w:r w:rsidRPr="00257DB2">
        <w:rPr>
          <w:sz w:val="28"/>
          <w:szCs w:val="28"/>
        </w:rPr>
        <w:t xml:space="preserve"> протокол, </w:t>
      </w:r>
      <w:r w:rsidR="00C07D85">
        <w:rPr>
          <w:sz w:val="28"/>
          <w:szCs w:val="28"/>
        </w:rPr>
        <w:t>1118</w:t>
      </w:r>
      <w:r w:rsidRPr="00257DB2">
        <w:rPr>
          <w:sz w:val="28"/>
          <w:szCs w:val="28"/>
        </w:rPr>
        <w:t xml:space="preserve"> акт</w:t>
      </w:r>
      <w:r w:rsidR="00C2172D">
        <w:rPr>
          <w:sz w:val="28"/>
          <w:szCs w:val="28"/>
        </w:rPr>
        <w:t>ов</w:t>
      </w:r>
      <w:r w:rsidRPr="00257DB2">
        <w:rPr>
          <w:sz w:val="28"/>
          <w:szCs w:val="28"/>
        </w:rPr>
        <w:t xml:space="preserve"> проверки предписаний. По </w:t>
      </w:r>
      <w:r w:rsidR="00C07D85">
        <w:rPr>
          <w:sz w:val="28"/>
          <w:szCs w:val="28"/>
        </w:rPr>
        <w:t>421</w:t>
      </w:r>
      <w:r w:rsidRPr="00257DB2">
        <w:rPr>
          <w:sz w:val="28"/>
          <w:szCs w:val="28"/>
        </w:rPr>
        <w:t xml:space="preserve"> невыполненным или выполненным не в полном объеме предписаниям за неустранение</w:t>
      </w:r>
      <w:r w:rsidR="004041D6">
        <w:rPr>
          <w:sz w:val="28"/>
          <w:szCs w:val="28"/>
        </w:rPr>
        <w:t xml:space="preserve"> </w:t>
      </w:r>
      <w:r w:rsidR="00C07D85">
        <w:rPr>
          <w:sz w:val="28"/>
          <w:szCs w:val="28"/>
        </w:rPr>
        <w:t>562</w:t>
      </w:r>
      <w:r w:rsidRPr="00257DB2">
        <w:rPr>
          <w:sz w:val="28"/>
          <w:szCs w:val="28"/>
        </w:rPr>
        <w:t xml:space="preserve"> нарушений материалы в отношении управляющих организаций – правонарушителей направлены в мировой суд.</w:t>
      </w:r>
    </w:p>
    <w:p w:rsidR="004D0595" w:rsidRDefault="004D0595" w:rsidP="00693F07">
      <w:pPr>
        <w:pStyle w:val="30"/>
        <w:spacing w:line="276" w:lineRule="auto"/>
        <w:rPr>
          <w:color w:val="FF0000"/>
          <w:sz w:val="28"/>
          <w:szCs w:val="28"/>
        </w:rPr>
      </w:pPr>
      <w:r w:rsidRPr="00DA15F1">
        <w:rPr>
          <w:sz w:val="28"/>
          <w:szCs w:val="28"/>
        </w:rPr>
        <w:lastRenderedPageBreak/>
        <w:t xml:space="preserve">Руководителем жилищной инспекции, в соответствие с графиками личного приема граждан, </w:t>
      </w:r>
      <w:r w:rsidR="00DA15F1" w:rsidRPr="00DA15F1">
        <w:rPr>
          <w:sz w:val="28"/>
          <w:szCs w:val="28"/>
        </w:rPr>
        <w:t>за 2015 г</w:t>
      </w:r>
      <w:r w:rsidRPr="00DA15F1">
        <w:rPr>
          <w:sz w:val="28"/>
          <w:szCs w:val="28"/>
        </w:rPr>
        <w:t>.</w:t>
      </w:r>
      <w:r w:rsidR="00DA15F1" w:rsidRPr="00DA15F1">
        <w:rPr>
          <w:sz w:val="28"/>
          <w:szCs w:val="28"/>
        </w:rPr>
        <w:t xml:space="preserve"> принят</w:t>
      </w:r>
      <w:r w:rsidR="00DA15F1">
        <w:rPr>
          <w:sz w:val="28"/>
          <w:szCs w:val="28"/>
        </w:rPr>
        <w:t>ы</w:t>
      </w:r>
      <w:r w:rsidR="00DA15F1" w:rsidRPr="00DA15F1">
        <w:rPr>
          <w:sz w:val="28"/>
          <w:szCs w:val="28"/>
        </w:rPr>
        <w:t xml:space="preserve"> 114 человек. В 64 случаях обращения приняты к рассмотрению в жилищной инспекции, в 50 случаях</w:t>
      </w:r>
      <w:r w:rsidR="00DA15F1" w:rsidRPr="003B5516">
        <w:rPr>
          <w:sz w:val="28"/>
          <w:szCs w:val="28"/>
        </w:rPr>
        <w:t xml:space="preserve"> поднятые заявителями вопросы разрешены на месте, по всем поднятым вопросам даны разъяснения, основанные на действующем законодательстве.</w:t>
      </w:r>
    </w:p>
    <w:p w:rsidR="00DA15F1" w:rsidRDefault="00DA15F1" w:rsidP="00DA15F1">
      <w:pPr>
        <w:pStyle w:val="30"/>
        <w:spacing w:line="276" w:lineRule="auto"/>
        <w:rPr>
          <w:sz w:val="28"/>
          <w:szCs w:val="28"/>
        </w:rPr>
      </w:pPr>
      <w:r w:rsidRPr="003B5516">
        <w:rPr>
          <w:sz w:val="28"/>
          <w:szCs w:val="28"/>
        </w:rPr>
        <w:t xml:space="preserve">Руководителем </w:t>
      </w:r>
      <w:r>
        <w:rPr>
          <w:sz w:val="28"/>
          <w:szCs w:val="28"/>
        </w:rPr>
        <w:t xml:space="preserve">жилищной инспекцией в ходе проведения общероссийского дня приема граждан 14 декабря 2015 г. принято 26 человек. Всего принято 12 человек, во всех </w:t>
      </w:r>
      <w:r w:rsidRPr="003B5516">
        <w:rPr>
          <w:sz w:val="28"/>
          <w:szCs w:val="28"/>
        </w:rPr>
        <w:t>случаях поднятые заявителями вопросы разрешены на месте.</w:t>
      </w:r>
    </w:p>
    <w:p w:rsidR="006B32A1" w:rsidRDefault="00257DB2" w:rsidP="00693F07">
      <w:pPr>
        <w:pStyle w:val="30"/>
        <w:spacing w:line="276" w:lineRule="auto"/>
        <w:rPr>
          <w:sz w:val="28"/>
          <w:szCs w:val="28"/>
        </w:rPr>
      </w:pPr>
      <w:r w:rsidRPr="006B32A1">
        <w:rPr>
          <w:sz w:val="28"/>
          <w:szCs w:val="28"/>
        </w:rPr>
        <w:t xml:space="preserve">По обращениям граждан и организаций </w:t>
      </w:r>
      <w:r w:rsidR="00D7315B">
        <w:rPr>
          <w:sz w:val="28"/>
          <w:szCs w:val="28"/>
        </w:rPr>
        <w:t xml:space="preserve">в </w:t>
      </w:r>
      <w:r w:rsidRPr="006B32A1">
        <w:rPr>
          <w:sz w:val="28"/>
          <w:szCs w:val="28"/>
        </w:rPr>
        <w:t>201</w:t>
      </w:r>
      <w:r w:rsidR="00693F07">
        <w:rPr>
          <w:sz w:val="28"/>
          <w:szCs w:val="28"/>
        </w:rPr>
        <w:t>5</w:t>
      </w:r>
      <w:r w:rsidRPr="006B32A1">
        <w:rPr>
          <w:sz w:val="28"/>
          <w:szCs w:val="28"/>
        </w:rPr>
        <w:t xml:space="preserve"> г. рассмотрено </w:t>
      </w:r>
      <w:r w:rsidR="00BC7441">
        <w:rPr>
          <w:sz w:val="28"/>
          <w:szCs w:val="28"/>
        </w:rPr>
        <w:t>923</w:t>
      </w:r>
      <w:r w:rsidRPr="006B32A1">
        <w:rPr>
          <w:sz w:val="28"/>
          <w:szCs w:val="28"/>
        </w:rPr>
        <w:t xml:space="preserve"> дел</w:t>
      </w:r>
      <w:r w:rsidR="00BC7441">
        <w:rPr>
          <w:sz w:val="28"/>
          <w:szCs w:val="28"/>
        </w:rPr>
        <w:t>а</w:t>
      </w:r>
      <w:r w:rsidRPr="006B32A1">
        <w:rPr>
          <w:sz w:val="28"/>
          <w:szCs w:val="28"/>
        </w:rPr>
        <w:t xml:space="preserve"> об административных правонарушениях в отношении должностных, </w:t>
      </w:r>
      <w:r w:rsidR="00693F07">
        <w:rPr>
          <w:sz w:val="28"/>
          <w:szCs w:val="28"/>
        </w:rPr>
        <w:t xml:space="preserve">юридических и физических лиц. </w:t>
      </w:r>
      <w:r w:rsidR="006B32A1">
        <w:rPr>
          <w:sz w:val="28"/>
          <w:szCs w:val="28"/>
        </w:rPr>
        <w:t xml:space="preserve">Наложены штрафные санкции на общую сумму </w:t>
      </w:r>
      <w:r w:rsidR="00BC7441">
        <w:rPr>
          <w:sz w:val="28"/>
          <w:szCs w:val="28"/>
        </w:rPr>
        <w:t>4941,5</w:t>
      </w:r>
      <w:r w:rsidR="006B32A1">
        <w:rPr>
          <w:sz w:val="28"/>
          <w:szCs w:val="28"/>
        </w:rPr>
        <w:t xml:space="preserve"> тыс. руб., в том числе:</w:t>
      </w:r>
    </w:p>
    <w:p w:rsidR="006B32A1" w:rsidRDefault="006B32A1" w:rsidP="00693F07">
      <w:pPr>
        <w:pStyle w:val="30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441">
        <w:rPr>
          <w:sz w:val="28"/>
          <w:szCs w:val="28"/>
        </w:rPr>
        <w:t>982,5</w:t>
      </w:r>
      <w:r>
        <w:rPr>
          <w:sz w:val="28"/>
          <w:szCs w:val="28"/>
        </w:rPr>
        <w:t xml:space="preserve"> тыс. руб. на </w:t>
      </w:r>
      <w:r w:rsidR="00BC7441">
        <w:rPr>
          <w:sz w:val="28"/>
          <w:szCs w:val="28"/>
        </w:rPr>
        <w:t>173</w:t>
      </w:r>
      <w:r w:rsidR="008C2548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>,</w:t>
      </w:r>
    </w:p>
    <w:p w:rsidR="006B32A1" w:rsidRDefault="006B32A1" w:rsidP="00693F07">
      <w:pPr>
        <w:pStyle w:val="30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441">
        <w:rPr>
          <w:sz w:val="28"/>
          <w:szCs w:val="28"/>
        </w:rPr>
        <w:t>3935</w:t>
      </w:r>
      <w:r>
        <w:rPr>
          <w:sz w:val="28"/>
          <w:szCs w:val="28"/>
        </w:rPr>
        <w:t xml:space="preserve"> тыс. руб. на </w:t>
      </w:r>
      <w:r w:rsidR="00BC7441">
        <w:rPr>
          <w:sz w:val="28"/>
          <w:szCs w:val="28"/>
        </w:rPr>
        <w:t>68</w:t>
      </w:r>
      <w:r>
        <w:rPr>
          <w:sz w:val="28"/>
          <w:szCs w:val="28"/>
        </w:rPr>
        <w:t xml:space="preserve"> юридических лиц,</w:t>
      </w:r>
    </w:p>
    <w:p w:rsidR="006B32A1" w:rsidRDefault="006B32A1" w:rsidP="00693F07">
      <w:pPr>
        <w:pStyle w:val="30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7441">
        <w:rPr>
          <w:sz w:val="28"/>
          <w:szCs w:val="28"/>
        </w:rPr>
        <w:t>24</w:t>
      </w:r>
      <w:r>
        <w:rPr>
          <w:sz w:val="28"/>
          <w:szCs w:val="28"/>
        </w:rPr>
        <w:t xml:space="preserve"> тыс. руб. на </w:t>
      </w:r>
      <w:r w:rsidR="00BC7441">
        <w:rPr>
          <w:sz w:val="28"/>
          <w:szCs w:val="28"/>
        </w:rPr>
        <w:t>12</w:t>
      </w:r>
      <w:r>
        <w:rPr>
          <w:sz w:val="28"/>
          <w:szCs w:val="28"/>
        </w:rPr>
        <w:t xml:space="preserve"> физических лиц.</w:t>
      </w:r>
    </w:p>
    <w:p w:rsidR="002E4A5C" w:rsidRDefault="002E4A5C" w:rsidP="00693F07">
      <w:pPr>
        <w:pStyle w:val="30"/>
        <w:spacing w:line="276" w:lineRule="auto"/>
        <w:rPr>
          <w:sz w:val="28"/>
          <w:szCs w:val="28"/>
        </w:rPr>
      </w:pPr>
    </w:p>
    <w:p w:rsidR="00C94499" w:rsidRPr="00257DB2" w:rsidRDefault="00C94499" w:rsidP="00693F07">
      <w:pPr>
        <w:pStyle w:val="30"/>
        <w:spacing w:line="276" w:lineRule="auto"/>
        <w:rPr>
          <w:sz w:val="28"/>
          <w:szCs w:val="28"/>
        </w:rPr>
      </w:pPr>
      <w:r w:rsidRPr="00257DB2">
        <w:rPr>
          <w:sz w:val="28"/>
          <w:szCs w:val="28"/>
        </w:rPr>
        <w:t>Примеры, отражающие результативность рассмотрения обращений:</w:t>
      </w:r>
    </w:p>
    <w:p w:rsidR="00067700" w:rsidRPr="00DF492C" w:rsidRDefault="00067700" w:rsidP="00067700">
      <w:pPr>
        <w:tabs>
          <w:tab w:val="left" w:pos="0"/>
          <w:tab w:val="left" w:pos="2835"/>
        </w:tabs>
        <w:spacing w:line="276" w:lineRule="auto"/>
        <w:ind w:firstLine="692"/>
        <w:jc w:val="both"/>
        <w:rPr>
          <w:sz w:val="28"/>
          <w:szCs w:val="28"/>
        </w:rPr>
      </w:pPr>
      <w:r w:rsidRPr="00DF492C">
        <w:rPr>
          <w:sz w:val="28"/>
          <w:szCs w:val="28"/>
        </w:rPr>
        <w:t>- по обращению жителей дома № 109 по Московскому проспекту  г.Воронежа по вопросу неудовлетворительного состояния дома при проведении проверки управляющей организации выдано предписание на устранение нарушений, заявителю направлен ответ, в установленные сроки все нарушения устранены;</w:t>
      </w:r>
    </w:p>
    <w:p w:rsidR="00067700" w:rsidRPr="00FC29B4" w:rsidRDefault="00067700" w:rsidP="00067700">
      <w:pPr>
        <w:tabs>
          <w:tab w:val="left" w:pos="0"/>
        </w:tabs>
        <w:spacing w:line="276" w:lineRule="auto"/>
        <w:ind w:firstLine="692"/>
        <w:jc w:val="both"/>
        <w:rPr>
          <w:sz w:val="28"/>
          <w:szCs w:val="28"/>
        </w:rPr>
      </w:pPr>
      <w:r w:rsidRPr="00FC29B4">
        <w:rPr>
          <w:sz w:val="28"/>
          <w:szCs w:val="28"/>
        </w:rPr>
        <w:t>- по обращению жителей дома № 4 по ул. 60 Армии  г.Воронежа  по вопросу неудовлетворительного состояния кровли при проведении проверки установлено, что после получения уведомления о предстоящей проверке управляющей организацией уже приняты меры и нарушения устранены;</w:t>
      </w:r>
    </w:p>
    <w:p w:rsidR="00067700" w:rsidRPr="00FC29B4" w:rsidRDefault="00067700" w:rsidP="00067700">
      <w:pPr>
        <w:tabs>
          <w:tab w:val="left" w:pos="0"/>
        </w:tabs>
        <w:spacing w:line="276" w:lineRule="auto"/>
        <w:ind w:firstLine="692"/>
        <w:jc w:val="both"/>
        <w:rPr>
          <w:sz w:val="28"/>
          <w:szCs w:val="28"/>
        </w:rPr>
      </w:pPr>
      <w:r w:rsidRPr="00FC29B4">
        <w:rPr>
          <w:sz w:val="28"/>
          <w:szCs w:val="28"/>
        </w:rPr>
        <w:t xml:space="preserve">- по обращению жителей дома № </w:t>
      </w:r>
      <w:r>
        <w:rPr>
          <w:sz w:val="28"/>
          <w:szCs w:val="28"/>
        </w:rPr>
        <w:t>61</w:t>
      </w:r>
      <w:r w:rsidRPr="00FC29B4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Лизюкова</w:t>
      </w:r>
      <w:r w:rsidRPr="00FC29B4">
        <w:rPr>
          <w:sz w:val="28"/>
          <w:szCs w:val="28"/>
        </w:rPr>
        <w:t xml:space="preserve">  г.Воронежа  по вопросу неудовлетворительного состояния </w:t>
      </w:r>
      <w:r>
        <w:rPr>
          <w:sz w:val="28"/>
          <w:szCs w:val="28"/>
        </w:rPr>
        <w:t>дома</w:t>
      </w:r>
      <w:r w:rsidRPr="00FC29B4">
        <w:rPr>
          <w:sz w:val="28"/>
          <w:szCs w:val="28"/>
        </w:rPr>
        <w:t xml:space="preserve"> при проведении проверки установлено, что после получения уведомления о предстоящей проверке управляющей организацией уже приняты меры и </w:t>
      </w:r>
      <w:r>
        <w:rPr>
          <w:sz w:val="28"/>
          <w:szCs w:val="28"/>
        </w:rPr>
        <w:t xml:space="preserve">все </w:t>
      </w:r>
      <w:r w:rsidRPr="00FC29B4">
        <w:rPr>
          <w:sz w:val="28"/>
          <w:szCs w:val="28"/>
        </w:rPr>
        <w:t>нарушения устранены;</w:t>
      </w:r>
    </w:p>
    <w:p w:rsidR="00FC6848" w:rsidRPr="00FC29B4" w:rsidRDefault="00FC6848" w:rsidP="00FC6848">
      <w:pPr>
        <w:tabs>
          <w:tab w:val="left" w:pos="0"/>
        </w:tabs>
        <w:spacing w:line="276" w:lineRule="auto"/>
        <w:ind w:firstLine="692"/>
        <w:jc w:val="both"/>
        <w:rPr>
          <w:sz w:val="28"/>
          <w:szCs w:val="28"/>
        </w:rPr>
      </w:pPr>
      <w:r w:rsidRPr="00FC29B4">
        <w:rPr>
          <w:sz w:val="28"/>
          <w:szCs w:val="28"/>
        </w:rPr>
        <w:t xml:space="preserve">- по обращению жителей дома № </w:t>
      </w:r>
      <w:r>
        <w:rPr>
          <w:sz w:val="28"/>
          <w:szCs w:val="28"/>
        </w:rPr>
        <w:t>45Б</w:t>
      </w:r>
      <w:r w:rsidRPr="00FC29B4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Ворошилова</w:t>
      </w:r>
      <w:r w:rsidRPr="00FC29B4">
        <w:rPr>
          <w:sz w:val="28"/>
          <w:szCs w:val="28"/>
        </w:rPr>
        <w:t xml:space="preserve">  г.Воронежа  по вопросу неудовлетворительного </w:t>
      </w:r>
      <w:r>
        <w:rPr>
          <w:sz w:val="28"/>
          <w:szCs w:val="28"/>
        </w:rPr>
        <w:t>отопления</w:t>
      </w:r>
      <w:r w:rsidRPr="00FC29B4">
        <w:rPr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 w:rsidRPr="00FC29B4">
        <w:rPr>
          <w:sz w:val="28"/>
          <w:szCs w:val="28"/>
        </w:rPr>
        <w:t xml:space="preserve"> после получения </w:t>
      </w:r>
      <w:r>
        <w:rPr>
          <w:sz w:val="28"/>
          <w:szCs w:val="28"/>
        </w:rPr>
        <w:t>запроса жилищной инспекции</w:t>
      </w:r>
      <w:r w:rsidRPr="00FC29B4">
        <w:rPr>
          <w:sz w:val="28"/>
          <w:szCs w:val="28"/>
        </w:rPr>
        <w:t xml:space="preserve"> управляющей организацией приняты меры и </w:t>
      </w:r>
      <w:r>
        <w:rPr>
          <w:sz w:val="28"/>
          <w:szCs w:val="28"/>
        </w:rPr>
        <w:t>восстановлен нормативный режим отопления дома.</w:t>
      </w:r>
    </w:p>
    <w:p w:rsidR="00C94499" w:rsidRPr="00AF1576" w:rsidRDefault="00C94499" w:rsidP="00693F07">
      <w:pPr>
        <w:tabs>
          <w:tab w:val="left" w:pos="0"/>
          <w:tab w:val="left" w:pos="2835"/>
        </w:tabs>
        <w:spacing w:line="360" w:lineRule="auto"/>
        <w:ind w:firstLine="692"/>
        <w:jc w:val="both"/>
        <w:rPr>
          <w:sz w:val="28"/>
          <w:szCs w:val="28"/>
        </w:rPr>
      </w:pPr>
    </w:p>
    <w:sectPr w:rsidR="00C94499" w:rsidRPr="00AF1576" w:rsidSect="006B32A1">
      <w:headerReference w:type="even" r:id="rId9"/>
      <w:headerReference w:type="default" r:id="rId10"/>
      <w:pgSz w:w="11906" w:h="16838"/>
      <w:pgMar w:top="1079" w:right="566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5F3" w:rsidRDefault="005F75F3">
      <w:r>
        <w:separator/>
      </w:r>
    </w:p>
  </w:endnote>
  <w:endnote w:type="continuationSeparator" w:id="1">
    <w:p w:rsidR="005F75F3" w:rsidRDefault="005F7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5F3" w:rsidRDefault="005F75F3">
      <w:r>
        <w:separator/>
      </w:r>
    </w:p>
  </w:footnote>
  <w:footnote w:type="continuationSeparator" w:id="1">
    <w:p w:rsidR="005F75F3" w:rsidRDefault="005F7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C0" w:rsidRDefault="002B0F5A" w:rsidP="000B6B8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51FC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1FC0" w:rsidRDefault="00A51FC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B83" w:rsidRDefault="002B0F5A" w:rsidP="00EA09D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B6B8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2A4C">
      <w:rPr>
        <w:rStyle w:val="a7"/>
        <w:noProof/>
      </w:rPr>
      <w:t>2</w:t>
    </w:r>
    <w:r>
      <w:rPr>
        <w:rStyle w:val="a7"/>
      </w:rPr>
      <w:fldChar w:fldCharType="end"/>
    </w:r>
  </w:p>
  <w:p w:rsidR="00A51FC0" w:rsidRDefault="00A51FC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4A4"/>
    <w:multiLevelType w:val="hybridMultilevel"/>
    <w:tmpl w:val="6FB29700"/>
    <w:lvl w:ilvl="0" w:tplc="84621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5E527C">
      <w:numFmt w:val="none"/>
      <w:lvlText w:val=""/>
      <w:lvlJc w:val="left"/>
      <w:pPr>
        <w:tabs>
          <w:tab w:val="num" w:pos="360"/>
        </w:tabs>
      </w:pPr>
    </w:lvl>
    <w:lvl w:ilvl="2" w:tplc="CDD4CAAE">
      <w:numFmt w:val="none"/>
      <w:lvlText w:val=""/>
      <w:lvlJc w:val="left"/>
      <w:pPr>
        <w:tabs>
          <w:tab w:val="num" w:pos="360"/>
        </w:tabs>
      </w:pPr>
    </w:lvl>
    <w:lvl w:ilvl="3" w:tplc="23B8A662">
      <w:numFmt w:val="none"/>
      <w:lvlText w:val=""/>
      <w:lvlJc w:val="left"/>
      <w:pPr>
        <w:tabs>
          <w:tab w:val="num" w:pos="360"/>
        </w:tabs>
      </w:pPr>
    </w:lvl>
    <w:lvl w:ilvl="4" w:tplc="A392C6EA">
      <w:numFmt w:val="none"/>
      <w:lvlText w:val=""/>
      <w:lvlJc w:val="left"/>
      <w:pPr>
        <w:tabs>
          <w:tab w:val="num" w:pos="360"/>
        </w:tabs>
      </w:pPr>
    </w:lvl>
    <w:lvl w:ilvl="5" w:tplc="77C66F9E">
      <w:numFmt w:val="none"/>
      <w:lvlText w:val=""/>
      <w:lvlJc w:val="left"/>
      <w:pPr>
        <w:tabs>
          <w:tab w:val="num" w:pos="360"/>
        </w:tabs>
      </w:pPr>
    </w:lvl>
    <w:lvl w:ilvl="6" w:tplc="89E22EC8">
      <w:numFmt w:val="none"/>
      <w:lvlText w:val=""/>
      <w:lvlJc w:val="left"/>
      <w:pPr>
        <w:tabs>
          <w:tab w:val="num" w:pos="360"/>
        </w:tabs>
      </w:pPr>
    </w:lvl>
    <w:lvl w:ilvl="7" w:tplc="3C306AA6">
      <w:numFmt w:val="none"/>
      <w:lvlText w:val=""/>
      <w:lvlJc w:val="left"/>
      <w:pPr>
        <w:tabs>
          <w:tab w:val="num" w:pos="360"/>
        </w:tabs>
      </w:pPr>
    </w:lvl>
    <w:lvl w:ilvl="8" w:tplc="BF7EC2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5851E31"/>
    <w:multiLevelType w:val="hybridMultilevel"/>
    <w:tmpl w:val="4D6466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B533E2"/>
    <w:multiLevelType w:val="multilevel"/>
    <w:tmpl w:val="8278CE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EB45E80"/>
    <w:multiLevelType w:val="hybridMultilevel"/>
    <w:tmpl w:val="A90813F8"/>
    <w:lvl w:ilvl="0" w:tplc="6AD63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E6104C">
      <w:numFmt w:val="none"/>
      <w:lvlText w:val=""/>
      <w:lvlJc w:val="left"/>
      <w:pPr>
        <w:tabs>
          <w:tab w:val="num" w:pos="360"/>
        </w:tabs>
      </w:pPr>
    </w:lvl>
    <w:lvl w:ilvl="2" w:tplc="941C660A">
      <w:numFmt w:val="none"/>
      <w:lvlText w:val=""/>
      <w:lvlJc w:val="left"/>
      <w:pPr>
        <w:tabs>
          <w:tab w:val="num" w:pos="360"/>
        </w:tabs>
      </w:pPr>
    </w:lvl>
    <w:lvl w:ilvl="3" w:tplc="03EE0D60">
      <w:numFmt w:val="none"/>
      <w:lvlText w:val=""/>
      <w:lvlJc w:val="left"/>
      <w:pPr>
        <w:tabs>
          <w:tab w:val="num" w:pos="360"/>
        </w:tabs>
      </w:pPr>
    </w:lvl>
    <w:lvl w:ilvl="4" w:tplc="949CA840">
      <w:numFmt w:val="none"/>
      <w:lvlText w:val=""/>
      <w:lvlJc w:val="left"/>
      <w:pPr>
        <w:tabs>
          <w:tab w:val="num" w:pos="360"/>
        </w:tabs>
      </w:pPr>
    </w:lvl>
    <w:lvl w:ilvl="5" w:tplc="1DE890DA">
      <w:numFmt w:val="none"/>
      <w:lvlText w:val=""/>
      <w:lvlJc w:val="left"/>
      <w:pPr>
        <w:tabs>
          <w:tab w:val="num" w:pos="360"/>
        </w:tabs>
      </w:pPr>
    </w:lvl>
    <w:lvl w:ilvl="6" w:tplc="9A1CB1A8">
      <w:numFmt w:val="none"/>
      <w:lvlText w:val=""/>
      <w:lvlJc w:val="left"/>
      <w:pPr>
        <w:tabs>
          <w:tab w:val="num" w:pos="360"/>
        </w:tabs>
      </w:pPr>
    </w:lvl>
    <w:lvl w:ilvl="7" w:tplc="EEF49830">
      <w:numFmt w:val="none"/>
      <w:lvlText w:val=""/>
      <w:lvlJc w:val="left"/>
      <w:pPr>
        <w:tabs>
          <w:tab w:val="num" w:pos="360"/>
        </w:tabs>
      </w:pPr>
    </w:lvl>
    <w:lvl w:ilvl="8" w:tplc="D56AF6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D6C"/>
    <w:rsid w:val="00027278"/>
    <w:rsid w:val="00030E5F"/>
    <w:rsid w:val="00067700"/>
    <w:rsid w:val="000718C2"/>
    <w:rsid w:val="00075114"/>
    <w:rsid w:val="00095054"/>
    <w:rsid w:val="000A0988"/>
    <w:rsid w:val="000A65CE"/>
    <w:rsid w:val="000B327D"/>
    <w:rsid w:val="000B57B0"/>
    <w:rsid w:val="000B6184"/>
    <w:rsid w:val="000B6B83"/>
    <w:rsid w:val="000E2CF2"/>
    <w:rsid w:val="000E419B"/>
    <w:rsid w:val="000F7E8E"/>
    <w:rsid w:val="00105FAA"/>
    <w:rsid w:val="00134A47"/>
    <w:rsid w:val="0015268C"/>
    <w:rsid w:val="00163285"/>
    <w:rsid w:val="00180274"/>
    <w:rsid w:val="001862FC"/>
    <w:rsid w:val="001A430C"/>
    <w:rsid w:val="001B19B0"/>
    <w:rsid w:val="001B73BC"/>
    <w:rsid w:val="001D43A5"/>
    <w:rsid w:val="001E1910"/>
    <w:rsid w:val="001E3697"/>
    <w:rsid w:val="001E43E7"/>
    <w:rsid w:val="001E5966"/>
    <w:rsid w:val="001F0923"/>
    <w:rsid w:val="00203903"/>
    <w:rsid w:val="002064D5"/>
    <w:rsid w:val="00207604"/>
    <w:rsid w:val="00221D83"/>
    <w:rsid w:val="002270FD"/>
    <w:rsid w:val="00244DC3"/>
    <w:rsid w:val="00250ADC"/>
    <w:rsid w:val="00252735"/>
    <w:rsid w:val="00255CF5"/>
    <w:rsid w:val="002578DE"/>
    <w:rsid w:val="00257DB2"/>
    <w:rsid w:val="002657D6"/>
    <w:rsid w:val="0027204C"/>
    <w:rsid w:val="00281FD8"/>
    <w:rsid w:val="002827F2"/>
    <w:rsid w:val="00283E89"/>
    <w:rsid w:val="00285A24"/>
    <w:rsid w:val="00293DF6"/>
    <w:rsid w:val="002A68D4"/>
    <w:rsid w:val="002B03B9"/>
    <w:rsid w:val="002B0F5A"/>
    <w:rsid w:val="002C45FD"/>
    <w:rsid w:val="002D26F8"/>
    <w:rsid w:val="002E4A5C"/>
    <w:rsid w:val="002F0C33"/>
    <w:rsid w:val="00323920"/>
    <w:rsid w:val="00344D7B"/>
    <w:rsid w:val="00352DFB"/>
    <w:rsid w:val="00357A39"/>
    <w:rsid w:val="00362793"/>
    <w:rsid w:val="00362F50"/>
    <w:rsid w:val="0037496E"/>
    <w:rsid w:val="00375706"/>
    <w:rsid w:val="0038240F"/>
    <w:rsid w:val="0039580A"/>
    <w:rsid w:val="003B153D"/>
    <w:rsid w:val="003B2BE2"/>
    <w:rsid w:val="003C7376"/>
    <w:rsid w:val="003C7FC2"/>
    <w:rsid w:val="003D5744"/>
    <w:rsid w:val="003F3693"/>
    <w:rsid w:val="00400012"/>
    <w:rsid w:val="0040004D"/>
    <w:rsid w:val="004041D6"/>
    <w:rsid w:val="0041313B"/>
    <w:rsid w:val="00417DF4"/>
    <w:rsid w:val="00441635"/>
    <w:rsid w:val="00443DAB"/>
    <w:rsid w:val="00457619"/>
    <w:rsid w:val="00461737"/>
    <w:rsid w:val="0046474B"/>
    <w:rsid w:val="004702F9"/>
    <w:rsid w:val="00480D5D"/>
    <w:rsid w:val="00482984"/>
    <w:rsid w:val="00485DAE"/>
    <w:rsid w:val="004860C0"/>
    <w:rsid w:val="00491F48"/>
    <w:rsid w:val="004C03AE"/>
    <w:rsid w:val="004C6617"/>
    <w:rsid w:val="004D0595"/>
    <w:rsid w:val="004D72BC"/>
    <w:rsid w:val="004D7383"/>
    <w:rsid w:val="004E7D0C"/>
    <w:rsid w:val="004F6FB9"/>
    <w:rsid w:val="00502288"/>
    <w:rsid w:val="00505017"/>
    <w:rsid w:val="00510094"/>
    <w:rsid w:val="005103B0"/>
    <w:rsid w:val="0051463B"/>
    <w:rsid w:val="00521353"/>
    <w:rsid w:val="005228FC"/>
    <w:rsid w:val="005339C6"/>
    <w:rsid w:val="00542C2C"/>
    <w:rsid w:val="00552B19"/>
    <w:rsid w:val="00552C9C"/>
    <w:rsid w:val="00593E6B"/>
    <w:rsid w:val="005B409C"/>
    <w:rsid w:val="005C0C78"/>
    <w:rsid w:val="005E6B92"/>
    <w:rsid w:val="005E7A6D"/>
    <w:rsid w:val="005F2BAB"/>
    <w:rsid w:val="005F4FAF"/>
    <w:rsid w:val="005F75F3"/>
    <w:rsid w:val="0060415B"/>
    <w:rsid w:val="006125B5"/>
    <w:rsid w:val="00615FE0"/>
    <w:rsid w:val="00617366"/>
    <w:rsid w:val="006202EB"/>
    <w:rsid w:val="00634CF7"/>
    <w:rsid w:val="00665E1A"/>
    <w:rsid w:val="00673455"/>
    <w:rsid w:val="00675A55"/>
    <w:rsid w:val="006863EF"/>
    <w:rsid w:val="00693F07"/>
    <w:rsid w:val="006A2B91"/>
    <w:rsid w:val="006B32A1"/>
    <w:rsid w:val="006B4D65"/>
    <w:rsid w:val="006B7890"/>
    <w:rsid w:val="006C2A0B"/>
    <w:rsid w:val="006C31D7"/>
    <w:rsid w:val="006D608E"/>
    <w:rsid w:val="006E1B39"/>
    <w:rsid w:val="006F4CDA"/>
    <w:rsid w:val="006F5090"/>
    <w:rsid w:val="0070007A"/>
    <w:rsid w:val="00702B5F"/>
    <w:rsid w:val="0070492B"/>
    <w:rsid w:val="007131ED"/>
    <w:rsid w:val="0072061F"/>
    <w:rsid w:val="00722596"/>
    <w:rsid w:val="00736A4F"/>
    <w:rsid w:val="00736A8D"/>
    <w:rsid w:val="007379A8"/>
    <w:rsid w:val="007468B2"/>
    <w:rsid w:val="00753F87"/>
    <w:rsid w:val="007543FE"/>
    <w:rsid w:val="00760246"/>
    <w:rsid w:val="00771D68"/>
    <w:rsid w:val="00782C37"/>
    <w:rsid w:val="00783833"/>
    <w:rsid w:val="00784B25"/>
    <w:rsid w:val="00786636"/>
    <w:rsid w:val="007941BC"/>
    <w:rsid w:val="0079480A"/>
    <w:rsid w:val="00795940"/>
    <w:rsid w:val="00797C22"/>
    <w:rsid w:val="007A607E"/>
    <w:rsid w:val="007B393F"/>
    <w:rsid w:val="007E1448"/>
    <w:rsid w:val="007F2DC1"/>
    <w:rsid w:val="00810702"/>
    <w:rsid w:val="008125C6"/>
    <w:rsid w:val="0081657D"/>
    <w:rsid w:val="008353F7"/>
    <w:rsid w:val="00841CD0"/>
    <w:rsid w:val="00843B86"/>
    <w:rsid w:val="0087089C"/>
    <w:rsid w:val="00874177"/>
    <w:rsid w:val="00887049"/>
    <w:rsid w:val="008A06F9"/>
    <w:rsid w:val="008B06FA"/>
    <w:rsid w:val="008C146C"/>
    <w:rsid w:val="008C2548"/>
    <w:rsid w:val="008C611E"/>
    <w:rsid w:val="008D5258"/>
    <w:rsid w:val="008E42BE"/>
    <w:rsid w:val="00907333"/>
    <w:rsid w:val="00931AB3"/>
    <w:rsid w:val="0093320B"/>
    <w:rsid w:val="00933DA7"/>
    <w:rsid w:val="00936247"/>
    <w:rsid w:val="00937ADF"/>
    <w:rsid w:val="009403D1"/>
    <w:rsid w:val="00962603"/>
    <w:rsid w:val="00963D6C"/>
    <w:rsid w:val="00977B90"/>
    <w:rsid w:val="00987045"/>
    <w:rsid w:val="009872AD"/>
    <w:rsid w:val="009A089B"/>
    <w:rsid w:val="009B0DF4"/>
    <w:rsid w:val="009C1B82"/>
    <w:rsid w:val="009C4808"/>
    <w:rsid w:val="009C6461"/>
    <w:rsid w:val="009F3414"/>
    <w:rsid w:val="00A01D27"/>
    <w:rsid w:val="00A04A56"/>
    <w:rsid w:val="00A17C6E"/>
    <w:rsid w:val="00A22A02"/>
    <w:rsid w:val="00A2424D"/>
    <w:rsid w:val="00A24C37"/>
    <w:rsid w:val="00A24E14"/>
    <w:rsid w:val="00A25B1A"/>
    <w:rsid w:val="00A36F48"/>
    <w:rsid w:val="00A51FC0"/>
    <w:rsid w:val="00A55AEE"/>
    <w:rsid w:val="00A63B08"/>
    <w:rsid w:val="00A63C3E"/>
    <w:rsid w:val="00A80E97"/>
    <w:rsid w:val="00AA2AB6"/>
    <w:rsid w:val="00AA3E83"/>
    <w:rsid w:val="00AB53FA"/>
    <w:rsid w:val="00AC1680"/>
    <w:rsid w:val="00AD228B"/>
    <w:rsid w:val="00AD2E0D"/>
    <w:rsid w:val="00AE0FE1"/>
    <w:rsid w:val="00AE2D03"/>
    <w:rsid w:val="00AE4BEC"/>
    <w:rsid w:val="00AF1576"/>
    <w:rsid w:val="00AF52B0"/>
    <w:rsid w:val="00B01528"/>
    <w:rsid w:val="00B0497A"/>
    <w:rsid w:val="00B05DAA"/>
    <w:rsid w:val="00B155AE"/>
    <w:rsid w:val="00B20F65"/>
    <w:rsid w:val="00B268C0"/>
    <w:rsid w:val="00B36671"/>
    <w:rsid w:val="00B45894"/>
    <w:rsid w:val="00B817CA"/>
    <w:rsid w:val="00BA6BD9"/>
    <w:rsid w:val="00BB07D2"/>
    <w:rsid w:val="00BC07E5"/>
    <w:rsid w:val="00BC7441"/>
    <w:rsid w:val="00BD4C55"/>
    <w:rsid w:val="00BD7DBA"/>
    <w:rsid w:val="00C0751E"/>
    <w:rsid w:val="00C07D85"/>
    <w:rsid w:val="00C116BD"/>
    <w:rsid w:val="00C2172D"/>
    <w:rsid w:val="00C344B5"/>
    <w:rsid w:val="00C62A4C"/>
    <w:rsid w:val="00C662F9"/>
    <w:rsid w:val="00C66916"/>
    <w:rsid w:val="00C70C9F"/>
    <w:rsid w:val="00C72FA3"/>
    <w:rsid w:val="00C73887"/>
    <w:rsid w:val="00C73E61"/>
    <w:rsid w:val="00C82584"/>
    <w:rsid w:val="00C84188"/>
    <w:rsid w:val="00C92F24"/>
    <w:rsid w:val="00C94499"/>
    <w:rsid w:val="00CA3366"/>
    <w:rsid w:val="00CA6F54"/>
    <w:rsid w:val="00CC409C"/>
    <w:rsid w:val="00CC64C6"/>
    <w:rsid w:val="00CE3D72"/>
    <w:rsid w:val="00CF2C52"/>
    <w:rsid w:val="00CF65ED"/>
    <w:rsid w:val="00CF7400"/>
    <w:rsid w:val="00D0185C"/>
    <w:rsid w:val="00D15414"/>
    <w:rsid w:val="00D22C63"/>
    <w:rsid w:val="00D26DE3"/>
    <w:rsid w:val="00D359BB"/>
    <w:rsid w:val="00D40067"/>
    <w:rsid w:val="00D40900"/>
    <w:rsid w:val="00D4139D"/>
    <w:rsid w:val="00D43391"/>
    <w:rsid w:val="00D7315B"/>
    <w:rsid w:val="00D92FC3"/>
    <w:rsid w:val="00DA14FD"/>
    <w:rsid w:val="00DA15F1"/>
    <w:rsid w:val="00DB1004"/>
    <w:rsid w:val="00DE3A1D"/>
    <w:rsid w:val="00DE5318"/>
    <w:rsid w:val="00DF0521"/>
    <w:rsid w:val="00DF1261"/>
    <w:rsid w:val="00DF2A94"/>
    <w:rsid w:val="00E12C24"/>
    <w:rsid w:val="00E203AE"/>
    <w:rsid w:val="00E25F1E"/>
    <w:rsid w:val="00E323D2"/>
    <w:rsid w:val="00E33364"/>
    <w:rsid w:val="00E33653"/>
    <w:rsid w:val="00E37A15"/>
    <w:rsid w:val="00E420FA"/>
    <w:rsid w:val="00E574E6"/>
    <w:rsid w:val="00E61989"/>
    <w:rsid w:val="00E63043"/>
    <w:rsid w:val="00E93B5C"/>
    <w:rsid w:val="00E96BDF"/>
    <w:rsid w:val="00EA09DF"/>
    <w:rsid w:val="00EA0C56"/>
    <w:rsid w:val="00EA1047"/>
    <w:rsid w:val="00EA61FF"/>
    <w:rsid w:val="00EE1BC8"/>
    <w:rsid w:val="00EE3BDF"/>
    <w:rsid w:val="00EE6E88"/>
    <w:rsid w:val="00F07F4E"/>
    <w:rsid w:val="00F15577"/>
    <w:rsid w:val="00F22870"/>
    <w:rsid w:val="00F2762D"/>
    <w:rsid w:val="00F2783E"/>
    <w:rsid w:val="00F36607"/>
    <w:rsid w:val="00F44094"/>
    <w:rsid w:val="00F55DA6"/>
    <w:rsid w:val="00F55F96"/>
    <w:rsid w:val="00F57EBB"/>
    <w:rsid w:val="00FA3B35"/>
    <w:rsid w:val="00FC2AF3"/>
    <w:rsid w:val="00FC33BC"/>
    <w:rsid w:val="00FC6848"/>
    <w:rsid w:val="00FD1007"/>
    <w:rsid w:val="00FD3BED"/>
    <w:rsid w:val="00FE48AE"/>
    <w:rsid w:val="00FF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B90"/>
    <w:rPr>
      <w:sz w:val="24"/>
      <w:szCs w:val="24"/>
    </w:rPr>
  </w:style>
  <w:style w:type="paragraph" w:styleId="1">
    <w:name w:val="heading 1"/>
    <w:basedOn w:val="a"/>
    <w:next w:val="a"/>
    <w:qFormat/>
    <w:rsid w:val="00977B90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977B90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977B90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977B90"/>
    <w:pPr>
      <w:keepNext/>
      <w:jc w:val="center"/>
      <w:outlineLvl w:val="3"/>
    </w:pPr>
    <w:rPr>
      <w:b/>
      <w:spacing w:val="20"/>
      <w:sz w:val="22"/>
    </w:rPr>
  </w:style>
  <w:style w:type="paragraph" w:styleId="5">
    <w:name w:val="heading 5"/>
    <w:basedOn w:val="a"/>
    <w:next w:val="a"/>
    <w:qFormat/>
    <w:rsid w:val="00977B90"/>
    <w:pPr>
      <w:keepNext/>
      <w:jc w:val="center"/>
      <w:outlineLvl w:val="4"/>
    </w:pPr>
    <w:rPr>
      <w:b/>
      <w:spacing w:val="60"/>
      <w:sz w:val="36"/>
    </w:rPr>
  </w:style>
  <w:style w:type="paragraph" w:styleId="6">
    <w:name w:val="heading 6"/>
    <w:basedOn w:val="a"/>
    <w:next w:val="a"/>
    <w:qFormat/>
    <w:rsid w:val="00977B90"/>
    <w:pPr>
      <w:keepNext/>
      <w:outlineLvl w:val="5"/>
    </w:pPr>
    <w:rPr>
      <w:b/>
      <w:spacing w:val="60"/>
      <w:sz w:val="36"/>
    </w:rPr>
  </w:style>
  <w:style w:type="paragraph" w:styleId="7">
    <w:name w:val="heading 7"/>
    <w:basedOn w:val="a"/>
    <w:next w:val="a"/>
    <w:qFormat/>
    <w:rsid w:val="00977B90"/>
    <w:pPr>
      <w:keepNext/>
      <w:outlineLvl w:val="6"/>
    </w:pPr>
    <w:rPr>
      <w:b/>
      <w:spacing w:val="40"/>
      <w:sz w:val="28"/>
    </w:rPr>
  </w:style>
  <w:style w:type="paragraph" w:styleId="8">
    <w:name w:val="heading 8"/>
    <w:basedOn w:val="a"/>
    <w:next w:val="a"/>
    <w:qFormat/>
    <w:rsid w:val="00977B90"/>
    <w:pPr>
      <w:keepNext/>
      <w:ind w:left="180"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1E369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7B90"/>
    <w:pPr>
      <w:ind w:firstLine="705"/>
    </w:pPr>
  </w:style>
  <w:style w:type="paragraph" w:styleId="20">
    <w:name w:val="Body Text Indent 2"/>
    <w:basedOn w:val="a"/>
    <w:rsid w:val="00977B90"/>
    <w:pPr>
      <w:ind w:firstLine="900"/>
      <w:jc w:val="both"/>
    </w:pPr>
  </w:style>
  <w:style w:type="paragraph" w:styleId="30">
    <w:name w:val="Body Text Indent 3"/>
    <w:basedOn w:val="a"/>
    <w:link w:val="31"/>
    <w:rsid w:val="00977B90"/>
    <w:pPr>
      <w:ind w:firstLine="720"/>
      <w:jc w:val="both"/>
    </w:pPr>
  </w:style>
  <w:style w:type="paragraph" w:styleId="a4">
    <w:name w:val="header"/>
    <w:basedOn w:val="a"/>
    <w:rsid w:val="00977B9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77B90"/>
    <w:pPr>
      <w:tabs>
        <w:tab w:val="center" w:pos="4677"/>
        <w:tab w:val="right" w:pos="9355"/>
      </w:tabs>
    </w:pPr>
  </w:style>
  <w:style w:type="paragraph" w:styleId="a6">
    <w:name w:val="Document Map"/>
    <w:basedOn w:val="a"/>
    <w:semiHidden/>
    <w:rsid w:val="00977B90"/>
    <w:pPr>
      <w:shd w:val="clear" w:color="auto" w:fill="000080"/>
    </w:pPr>
    <w:rPr>
      <w:rFonts w:ascii="Tahoma" w:hAnsi="Tahoma" w:cs="Tahoma"/>
    </w:rPr>
  </w:style>
  <w:style w:type="character" w:styleId="a7">
    <w:name w:val="page number"/>
    <w:basedOn w:val="a0"/>
    <w:rsid w:val="00977B90"/>
  </w:style>
  <w:style w:type="paragraph" w:styleId="a8">
    <w:name w:val="Body Text"/>
    <w:basedOn w:val="a"/>
    <w:rsid w:val="00977B90"/>
    <w:pPr>
      <w:spacing w:after="120"/>
    </w:pPr>
  </w:style>
  <w:style w:type="paragraph" w:customStyle="1" w:styleId="western">
    <w:name w:val="western"/>
    <w:basedOn w:val="a"/>
    <w:rsid w:val="00977B90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7941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941B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4090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с отступом 3 Знак"/>
    <w:basedOn w:val="a0"/>
    <w:link w:val="30"/>
    <w:rsid w:val="00931A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8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2;&#1072;&#1084;&#1072;\Desktop\&#1044;&#1054;&#1052;&#1054;&#1049;\&#1044;-&#1082;&#1088;&#1091;&#1075;&#1086;&#1074;&#1072;&#1103;%20&#1090;&#1077;&#1084;&#1072;&#1090;&#1080;&#1082;&#1072;%20&#1086;&#1073;&#1088;&#1072;&#1097;&#1077;&#1085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chart>
    <c:autoTitleDeleted val="1"/>
    <c:plotArea>
      <c:layout/>
      <c:area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F0"/>
            </a:solidFill>
            <a:ln w="19050">
              <a:solidFill>
                <a:sysClr val="windowText" lastClr="000000">
                  <a:alpha val="92000"/>
                </a:sysClr>
              </a:solidFill>
            </a:ln>
          </c:spPr>
          <c:dLbls>
            <c:dLbl>
              <c:idx val="0"/>
              <c:layout>
                <c:manualLayout>
                  <c:x val="2.0833252657381725E-2"/>
                  <c:y val="-0.2891155265172603"/>
                </c:manualLayout>
              </c:layout>
              <c:showVal val="1"/>
            </c:dLbl>
            <c:dLbl>
              <c:idx val="1"/>
              <c:layout>
                <c:manualLayout>
                  <c:x val="-1.3888947349723445E-2"/>
                  <c:y val="-0.31500356488102832"/>
                </c:manualLayout>
              </c:layout>
              <c:showVal val="1"/>
            </c:dLbl>
            <c:dLbl>
              <c:idx val="2"/>
              <c:layout>
                <c:manualLayout>
                  <c:x val="-8.9061199626427143E-3"/>
                  <c:y val="-0.37585026184370446"/>
                </c:manualLayout>
              </c:layout>
              <c:showVal val="1"/>
            </c:dLbl>
            <c:dLbl>
              <c:idx val="3"/>
              <c:layout>
                <c:manualLayout>
                  <c:x val="-1.3888947349723443E-2"/>
                  <c:y val="-0.40343930746528256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 i="1" baseline="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2012 г.</c:v>
                </c:pt>
                <c:pt idx="1">
                  <c:v>2013 г.</c:v>
                </c:pt>
                <c:pt idx="2">
                  <c:v>2014 г.</c:v>
                </c:pt>
                <c:pt idx="3">
                  <c:v>2015 г.</c:v>
                </c:pt>
              </c:strCache>
            </c:strRef>
          </c:cat>
          <c:val>
            <c:numRef>
              <c:f>Лист1!$B$2:$B$5</c:f>
              <c:numCache>
                <c:formatCode>Основной</c:formatCode>
                <c:ptCount val="4"/>
                <c:pt idx="0">
                  <c:v>4276</c:v>
                </c:pt>
                <c:pt idx="1">
                  <c:v>7157</c:v>
                </c:pt>
                <c:pt idx="2">
                  <c:v>11033</c:v>
                </c:pt>
                <c:pt idx="3">
                  <c:v>15704</c:v>
                </c:pt>
              </c:numCache>
            </c:numRef>
          </c:val>
        </c:ser>
        <c:axId val="101505664"/>
        <c:axId val="102838656"/>
      </c:areaChart>
      <c:catAx>
        <c:axId val="101505664"/>
        <c:scaling>
          <c:orientation val="minMax"/>
        </c:scaling>
        <c:axPos val="b"/>
        <c:numFmt formatCode="\Д\Д.\М\М.\Г\Г\Г\Г" sourceLinked="1"/>
        <c:tickLblPos val="nextTo"/>
        <c:txPr>
          <a:bodyPr/>
          <a:lstStyle/>
          <a:p>
            <a:pPr>
              <a:defRPr sz="1100" b="1" i="0" baseline="0"/>
            </a:pPr>
            <a:endParaRPr lang="ru-RU"/>
          </a:p>
        </c:txPr>
        <c:crossAx val="102838656"/>
        <c:crosses val="autoZero"/>
        <c:auto val="1"/>
        <c:lblAlgn val="ctr"/>
        <c:lblOffset val="100"/>
      </c:catAx>
      <c:valAx>
        <c:axId val="102838656"/>
        <c:scaling>
          <c:orientation val="minMax"/>
        </c:scaling>
        <c:axPos val="l"/>
        <c:majorGridlines/>
        <c:numFmt formatCode="Основной" sourceLinked="1"/>
        <c:tickLblPos val="nextTo"/>
        <c:crossAx val="101505664"/>
        <c:crosses val="autoZero"/>
        <c:crossBetween val="midCat"/>
      </c:valAx>
    </c:plotArea>
    <c:plotVisOnly val="1"/>
  </c:chart>
  <c:spPr>
    <a:ln>
      <a:solidFill>
        <a:sysClr val="windowText" lastClr="000000">
          <a:alpha val="97000"/>
        </a:sysClr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chart>
    <c:autoTitleDeleted val="1"/>
    <c:view3D>
      <c:rotX val="30"/>
      <c:rotY val="140"/>
      <c:perspective val="30"/>
    </c:view3D>
    <c:plotArea>
      <c:layout>
        <c:manualLayout>
          <c:layoutTarget val="inner"/>
          <c:xMode val="edge"/>
          <c:yMode val="edge"/>
          <c:x val="7.2335958005249404E-2"/>
          <c:y val="0.1286834078172665"/>
          <c:w val="0.61776776637097575"/>
          <c:h val="0.78159726655789663"/>
        </c:manualLayout>
      </c:layout>
      <c:pie3DChart>
        <c:varyColors val="1"/>
        <c:ser>
          <c:idx val="0"/>
          <c:order val="0"/>
          <c:tx>
            <c:strRef>
              <c:f>Лист1!$B$5</c:f>
              <c:strCache>
                <c:ptCount val="1"/>
                <c:pt idx="0">
                  <c:v> 2015 год</c:v>
                </c:pt>
              </c:strCache>
            </c:strRef>
          </c:tx>
          <c:dPt>
            <c:idx val="0"/>
            <c:explosion val="8"/>
            <c:spPr>
              <a:solidFill>
                <a:srgbClr val="FFFF00"/>
              </a:solidFill>
            </c:spPr>
          </c:dPt>
          <c:dPt>
            <c:idx val="1"/>
            <c:explosion val="8"/>
            <c:spPr>
              <a:solidFill>
                <a:srgbClr val="273FF1"/>
              </a:solidFill>
            </c:spPr>
          </c:dPt>
          <c:dPt>
            <c:idx val="3"/>
            <c:explosion val="9"/>
          </c:dPt>
          <c:dPt>
            <c:idx val="4"/>
            <c:explosion val="8"/>
          </c:dPt>
          <c:dPt>
            <c:idx val="5"/>
            <c:explosion val="14"/>
            <c:spPr>
              <a:solidFill>
                <a:srgbClr val="E40CAB"/>
              </a:solidFill>
            </c:spPr>
          </c:dPt>
          <c:dPt>
            <c:idx val="6"/>
            <c:explosion val="7"/>
            <c:spPr>
              <a:solidFill>
                <a:srgbClr val="00B0F0"/>
              </a:solidFill>
            </c:spPr>
          </c:dPt>
          <c:dPt>
            <c:idx val="7"/>
            <c:explosion val="10"/>
            <c:spPr>
              <a:solidFill>
                <a:schemeClr val="accent2">
                  <a:lumMod val="60000"/>
                  <a:lumOff val="40000"/>
                </a:schemeClr>
              </a:solidFill>
            </c:spPr>
          </c:dPt>
          <c:dPt>
            <c:idx val="8"/>
            <c:explosion val="9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3.7379648762504408E-2"/>
                  <c:y val="4.7675274374647907E-2"/>
                </c:manualLayout>
              </c:layout>
              <c:showVal val="1"/>
              <c:showPercent val="1"/>
            </c:dLbl>
            <c:dLbl>
              <c:idx val="1"/>
              <c:layout>
                <c:manualLayout>
                  <c:x val="0"/>
                  <c:y val="0.15146579617127079"/>
                </c:manualLayout>
              </c:layout>
              <c:showVal val="1"/>
              <c:showPercent val="1"/>
            </c:dLbl>
            <c:dLbl>
              <c:idx val="4"/>
              <c:layout>
                <c:manualLayout>
                  <c:x val="4.6097627694988194E-2"/>
                  <c:y val="-0.23683712333725193"/>
                </c:manualLayout>
              </c:layout>
              <c:showVal val="1"/>
              <c:showPercent val="1"/>
            </c:dLbl>
            <c:dLbl>
              <c:idx val="5"/>
              <c:layout>
                <c:manualLayout>
                  <c:x val="-1.7056018719199387E-2"/>
                  <c:y val="-0.1191890490666401"/>
                </c:manualLayout>
              </c:layout>
              <c:showVal val="1"/>
              <c:showPercent val="1"/>
            </c:dLbl>
            <c:dLbl>
              <c:idx val="6"/>
              <c:layout>
                <c:manualLayout>
                  <c:x val="0.12202073083996516"/>
                  <c:y val="-0.1679138895458272"/>
                </c:manualLayout>
              </c:layout>
              <c:showVal val="1"/>
              <c:showPercent val="1"/>
            </c:dLbl>
            <c:dLbl>
              <c:idx val="7"/>
              <c:layout>
                <c:manualLayout>
                  <c:x val="3.6965368639449237E-3"/>
                  <c:y val="-9.6212240219442177E-2"/>
                </c:manualLayout>
              </c:layout>
              <c:showVal val="1"/>
              <c:showPercent val="1"/>
            </c:dLbl>
            <c:txPr>
              <a:bodyPr/>
              <a:lstStyle/>
              <a:p>
                <a:pPr>
                  <a:defRPr sz="1200" b="1" i="1" baseline="0"/>
                </a:pPr>
                <a:endParaRPr lang="ru-RU"/>
              </a:p>
            </c:txPr>
            <c:showVal val="1"/>
            <c:showPercent val="1"/>
            <c:showLeaderLines val="1"/>
          </c:dLbls>
          <c:cat>
            <c:strRef>
              <c:f>Лист1!$A$6:$A$15</c:f>
              <c:strCache>
                <c:ptCount val="10"/>
                <c:pt idx="0">
                  <c:v>Техническое состояние</c:v>
                </c:pt>
                <c:pt idx="1">
                  <c:v>Коммунальные услуги</c:v>
                </c:pt>
                <c:pt idx="2">
                  <c:v>Качество капремонта</c:v>
                </c:pt>
                <c:pt idx="3">
                  <c:v>Перепланировка жилых помещений</c:v>
                </c:pt>
                <c:pt idx="4">
                  <c:v>Перепланировка МОП и нежилых помещений</c:v>
                </c:pt>
                <c:pt idx="5">
                  <c:v>Захват общего имущества</c:v>
                </c:pt>
                <c:pt idx="6">
                  <c:v>Формирование и оплата в Фонд капитального ремонта</c:v>
                </c:pt>
                <c:pt idx="7">
                  <c:v>Оплата (тарифы, перерасчет)</c:v>
                </c:pt>
                <c:pt idx="8">
                  <c:v>Правовая основа управления многоквартирным домом</c:v>
                </c:pt>
                <c:pt idx="9">
                  <c:v>Не в компетенции инспекции</c:v>
                </c:pt>
              </c:strCache>
            </c:strRef>
          </c:cat>
          <c:val>
            <c:numRef>
              <c:f>Лист1!$B$6:$B$15</c:f>
              <c:numCache>
                <c:formatCode>Основной</c:formatCode>
                <c:ptCount val="10"/>
                <c:pt idx="0">
                  <c:v>4680</c:v>
                </c:pt>
                <c:pt idx="1">
                  <c:v>1814</c:v>
                </c:pt>
                <c:pt idx="2">
                  <c:v>31</c:v>
                </c:pt>
                <c:pt idx="3">
                  <c:v>102</c:v>
                </c:pt>
                <c:pt idx="4">
                  <c:v>53</c:v>
                </c:pt>
                <c:pt idx="5">
                  <c:v>117</c:v>
                </c:pt>
                <c:pt idx="6">
                  <c:v>1478</c:v>
                </c:pt>
                <c:pt idx="7">
                  <c:v>5634</c:v>
                </c:pt>
                <c:pt idx="8">
                  <c:v>1333</c:v>
                </c:pt>
                <c:pt idx="9">
                  <c:v>462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5806621580105751"/>
          <c:y val="1.8913192712190451E-2"/>
          <c:w val="0.32910641915351224"/>
          <c:h val="0.92198052663590468"/>
        </c:manualLayout>
      </c:layout>
    </c:legend>
    <c:plotVisOnly val="1"/>
  </c:chart>
  <c:spPr>
    <a:ln w="285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ДМИНИСТРАЦИЯ ВОРОНЕЖСКОЙ ОБЛАСТИ</vt:lpstr>
    </vt:vector>
  </TitlesOfParts>
  <Company>Госжилинспекция Воронежской области</Company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ДМИНИСТРАЦИЯ ВОРОНЕЖСКОЙ ОБЛАСТИ</dc:title>
  <dc:creator>Кравченко О. В.</dc:creator>
  <cp:lastModifiedBy>Bessarabova E V</cp:lastModifiedBy>
  <cp:revision>11</cp:revision>
  <cp:lastPrinted>2016-01-11T07:33:00Z</cp:lastPrinted>
  <dcterms:created xsi:type="dcterms:W3CDTF">2016-01-09T17:28:00Z</dcterms:created>
  <dcterms:modified xsi:type="dcterms:W3CDTF">2016-01-19T11:52:00Z</dcterms:modified>
</cp:coreProperties>
</file>