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8"/>
        <w:jc w:val="center"/>
        <w:tabs>
          <w:tab w:val="left" w:pos="3840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9788" cy="589788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89788" cy="589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4pt;height:46.4pt;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728"/>
        <w:tabs>
          <w:tab w:val="left" w:pos="3840" w:leader="none"/>
        </w:tabs>
      </w:pPr>
      <w:r/>
      <w:r/>
    </w:p>
    <w:p>
      <w:pPr>
        <w:pStyle w:val="729"/>
        <w:ind w:right="-567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ГОСУДАРСТВЕННАЯ ЖИЛИЩНАЯ ИНСПЕКЦИЯ</w:t>
      </w:r>
      <w:r/>
    </w:p>
    <w:p>
      <w:pPr>
        <w:pStyle w:val="728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ВОРОНЕЖСКОЙ ОБЛАСТИ</w:t>
      </w:r>
      <w:r/>
    </w:p>
    <w:p>
      <w:pPr>
        <w:pStyle w:val="728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</w:r>
      <w:r/>
    </w:p>
    <w:p>
      <w:pPr>
        <w:pStyle w:val="730"/>
        <w:rPr>
          <w:sz w:val="28"/>
          <w:szCs w:val="28"/>
        </w:rPr>
      </w:pPr>
      <w:r>
        <w:rPr>
          <w:sz w:val="28"/>
          <w:szCs w:val="28"/>
        </w:rPr>
        <w:t xml:space="preserve">ПРИКАЗ</w:t>
      </w:r>
      <w:r/>
    </w:p>
    <w:p>
      <w:pPr>
        <w:pStyle w:val="728"/>
        <w:jc w:val="center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728"/>
        <w:ind w:left="-1134" w:right="-567" w:firstLine="113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28"/>
        <w:ind w:left="-1134" w:right="-567" w:firstLine="1134"/>
        <w:rPr>
          <w:sz w:val="28"/>
          <w:szCs w:val="28"/>
        </w:rPr>
      </w:pPr>
      <w:r>
        <w:rPr>
          <w:sz w:val="28"/>
          <w:szCs w:val="28"/>
        </w:rPr>
        <w:t xml:space="preserve">«___»________</w:t>
      </w:r>
      <w:r>
        <w:rPr>
          <w:sz w:val="28"/>
          <w:szCs w:val="28"/>
        </w:rPr>
        <w:t xml:space="preserve">2021</w:t>
      </w:r>
      <w:r>
        <w:rPr>
          <w:sz w:val="28"/>
          <w:szCs w:val="28"/>
        </w:rPr>
        <w:t xml:space="preserve"> г.</w:t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  <w:r/>
    </w:p>
    <w:p>
      <w:pPr>
        <w:pStyle w:val="728"/>
        <w:ind w:left="1134" w:right="56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72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Воронеж</w:t>
      </w:r>
      <w:r/>
    </w:p>
    <w:p>
      <w:pPr>
        <w:pStyle w:val="728"/>
        <w:jc w:val="center"/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</w:rPr>
      </w:r>
      <w:r/>
    </w:p>
    <w:p>
      <w:pPr>
        <w:pStyle w:val="728"/>
        <w:jc w:val="center"/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</w:rPr>
      </w:r>
      <w:r/>
    </w:p>
    <w:p>
      <w:pPr>
        <w:pStyle w:val="728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жилищного надзора на территории Воронежской области</w:t>
      </w:r>
      <w:r/>
    </w:p>
    <w:p>
      <w:pPr>
        <w:pStyle w:val="728"/>
        <w:jc w:val="center"/>
        <w:rPr>
          <w:b/>
          <w:sz w:val="52"/>
          <w:szCs w:val="44"/>
        </w:rPr>
      </w:pPr>
      <w:r>
        <w:rPr>
          <w:b/>
          <w:sz w:val="52"/>
          <w:szCs w:val="44"/>
        </w:rPr>
      </w:r>
      <w:r>
        <w:rPr>
          <w:sz w:val="52"/>
        </w:rPr>
      </w:r>
      <w:r/>
    </w:p>
    <w:p>
      <w:pPr>
        <w:pStyle w:val="728"/>
        <w:ind w:firstLine="51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</w:t>
      </w:r>
      <w:r>
        <w:rPr>
          <w:sz w:val="28"/>
          <w:szCs w:val="28"/>
        </w:rPr>
        <w:t xml:space="preserve">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</w:t>
      </w:r>
      <w:r>
        <w:rPr>
          <w:sz w:val="28"/>
          <w:szCs w:val="28"/>
        </w:rPr>
        <w:t xml:space="preserve">ганами программы профилактики рисков причинения вреда (ущерба) охраняемым законом ценностям», в целях предупреждения нарушения юридическими лицами, индивидуальными предпринимателями и физическими лицами обязательных требований, соблюдение которых оценивает</w:t>
      </w:r>
      <w:r>
        <w:rPr>
          <w:sz w:val="28"/>
          <w:szCs w:val="28"/>
        </w:rPr>
        <w:t xml:space="preserve">ся государственной жилищной инспекцией Воронежской области при осуществлении регионального государственного жилищного надзора на территории Воронежской области, устранения причин, факторов и условий, способствующих нарушению таких обязательных требований, </w:t>
      </w:r>
      <w:r/>
    </w:p>
    <w:p>
      <w:pPr>
        <w:pStyle w:val="728"/>
        <w:jc w:val="both"/>
        <w:spacing w:lineRule="auto" w:line="360"/>
        <w:rPr>
          <w:spacing w:val="30"/>
          <w:sz w:val="28"/>
          <w:szCs w:val="28"/>
          <w:highlight w:val="none"/>
        </w:rPr>
      </w:pPr>
      <w:r>
        <w:rPr>
          <w:spacing w:val="30"/>
          <w:sz w:val="28"/>
          <w:szCs w:val="28"/>
        </w:rPr>
        <w:t xml:space="preserve">приказываю: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1. Приказ государственной жилищной инспекции Воронежской области от 15.12.2020 № 135 «Об утверждении программы профилактики нарушений требований на 2021 год и на период 2022-2023 годов» признать утратившим силу.</w:t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Утвердить прилагаемую программу профилактики рисков причинения вреда (ущерба) охраняемым законом ценностям при осуществлении регионального государственного жилищного надзора государственной жилищной и</w:t>
      </w:r>
      <w:r>
        <w:rPr>
          <w:sz w:val="28"/>
          <w:szCs w:val="28"/>
        </w:rPr>
        <w:t xml:space="preserve">нспекцией Воронежской области на 2022 год.</w:t>
      </w:r>
      <w:r/>
    </w:p>
    <w:p>
      <w:pPr>
        <w:pStyle w:val="728"/>
        <w:ind w:firstLine="51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Заместителям руководителя инспекции и начальникам отделов инспекции обеспечить своевременное и полное выполнение программы профилактики</w:t>
      </w:r>
      <w:r>
        <w:rPr>
          <w:sz w:val="28"/>
          <w:szCs w:val="28"/>
        </w:rPr>
        <w:t xml:space="preserve"> рисков причинения вреда (ущерба) охраняемым законом ценностям при осуществлении регионального государственного жилищного надзора</w:t>
      </w:r>
      <w:r>
        <w:rPr>
          <w:sz w:val="28"/>
          <w:szCs w:val="28"/>
          <w:highlight w:val="none"/>
        </w:rPr>
        <w:t xml:space="preserve"> в 2022 году.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51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приказа оставляю за собой</w:t>
      </w:r>
      <w:r>
        <w:rPr>
          <w:sz w:val="28"/>
          <w:szCs w:val="28"/>
        </w:rPr>
        <w:t xml:space="preserve">.</w:t>
      </w:r>
      <w:r/>
    </w:p>
    <w:p>
      <w:pPr>
        <w:pStyle w:val="728"/>
        <w:jc w:val="both"/>
        <w:spacing w:lineRule="auto" w:line="360"/>
        <w:rPr>
          <w:sz w:val="22"/>
          <w:szCs w:val="16"/>
        </w:rPr>
      </w:pPr>
      <w:r>
        <w:rPr>
          <w:sz w:val="22"/>
          <w:szCs w:val="16"/>
        </w:rPr>
      </w:r>
      <w:r>
        <w:rPr>
          <w:sz w:val="22"/>
        </w:rPr>
      </w:r>
      <w:r/>
    </w:p>
    <w:p>
      <w:pPr>
        <w:pStyle w:val="728"/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28"/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728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инспекции</w:t>
        <w:tab/>
        <w:tab/>
        <w:tab/>
        <w:tab/>
        <w:tab/>
        <w:tab/>
        <w:t xml:space="preserve">     Д.И. Гончарова</w:t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Приложение</w:t>
      </w:r>
      <w:r>
        <w:rPr>
          <w:sz w:val="28"/>
          <w:szCs w:val="28"/>
        </w:rPr>
      </w:r>
      <w:r/>
    </w:p>
    <w:p>
      <w:pPr>
        <w:pStyle w:val="728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ab/>
        <w:t xml:space="preserve">к приказу государственной</w:t>
      </w:r>
      <w:r>
        <w:rPr>
          <w:sz w:val="28"/>
          <w:szCs w:val="28"/>
          <w:highlight w:val="none"/>
        </w:rPr>
      </w:r>
      <w:r/>
    </w:p>
    <w:p>
      <w:pPr>
        <w:pStyle w:val="728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ab/>
        <w:t xml:space="preserve">жилищной инспекции</w:t>
      </w:r>
      <w:r>
        <w:rPr>
          <w:sz w:val="28"/>
          <w:szCs w:val="28"/>
          <w:highlight w:val="none"/>
        </w:rPr>
      </w:r>
      <w:r/>
    </w:p>
    <w:p>
      <w:pPr>
        <w:pStyle w:val="728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ab/>
        <w:t xml:space="preserve">Воронежской области </w:t>
      </w:r>
      <w:r>
        <w:rPr>
          <w:sz w:val="28"/>
          <w:szCs w:val="28"/>
          <w:highlight w:val="none"/>
        </w:rPr>
      </w:r>
      <w:r/>
    </w:p>
    <w:p>
      <w:pPr>
        <w:pStyle w:val="728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ab/>
        <w:t xml:space="preserve">_____ _________2021 №____</w:t>
      </w:r>
      <w:r>
        <w:rPr>
          <w:sz w:val="28"/>
          <w:szCs w:val="28"/>
          <w:highlight w:val="none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Программа</w:t>
      </w:r>
      <w:r>
        <w:rPr>
          <w:sz w:val="28"/>
          <w:szCs w:val="28"/>
        </w:rPr>
      </w:r>
      <w:r/>
    </w:p>
    <w:p>
      <w:pPr>
        <w:pStyle w:val="728"/>
        <w:jc w:val="center"/>
        <w:spacing w:lineRule="auto" w:line="276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профилактики </w:t>
      </w:r>
      <w:r>
        <w:rPr>
          <w:sz w:val="28"/>
          <w:szCs w:val="28"/>
        </w:rPr>
        <w:t xml:space="preserve">рисков причинения вреда (ущерба) охраняемым законом ценностям при осуществлении регионального государственного жилищного надзора государственной жилищной и</w:t>
      </w:r>
      <w:r>
        <w:rPr>
          <w:sz w:val="28"/>
          <w:szCs w:val="28"/>
        </w:rPr>
        <w:t xml:space="preserve">нспекцией Воронежской области </w:t>
      </w:r>
      <w:r/>
    </w:p>
    <w:p>
      <w:pPr>
        <w:pStyle w:val="728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 2022 год.</w:t>
      </w:r>
      <w:r>
        <w:rPr>
          <w:sz w:val="28"/>
          <w:szCs w:val="28"/>
          <w:highlight w:val="none"/>
        </w:rPr>
      </w:r>
      <w:r/>
    </w:p>
    <w:p>
      <w:pPr>
        <w:pStyle w:val="728"/>
        <w:jc w:val="center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left="0" w:firstLine="0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  <w:r/>
    </w:p>
    <w:p>
      <w:pPr>
        <w:pStyle w:val="728"/>
        <w:ind w:left="0" w:firstLine="0"/>
        <w:jc w:val="center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1. Программа профилактики ри</w:t>
      </w:r>
      <w:r>
        <w:rPr>
          <w:sz w:val="28"/>
          <w:szCs w:val="28"/>
        </w:rPr>
        <w:t xml:space="preserve">сков причин</w:t>
      </w:r>
      <w:r>
        <w:rPr>
          <w:sz w:val="28"/>
          <w:szCs w:val="28"/>
        </w:rPr>
        <w:t xml:space="preserve">ения вреда (ущерба) охраняемым законом ценностям при осуществлении регионального государственного жилищного надзора государственной жилищной инспекцией Воронежской области на 2022 год (далее - программа профилактики) разработана в соответствии с</w:t>
      </w:r>
      <w:r>
        <w:rPr>
          <w:sz w:val="28"/>
          <w:szCs w:val="28"/>
        </w:rPr>
        <w:t xml:space="preserve">о статьёй 44 Федерального закона от 31.07.2020 № 248-ФЗ «О государственном контроле (надзоре) и муниципальном контроле в Росси</w:t>
      </w:r>
      <w:r>
        <w:rPr>
          <w:sz w:val="28"/>
          <w:szCs w:val="28"/>
        </w:rPr>
        <w:t xml:space="preserve">йс</w:t>
      </w:r>
      <w:r>
        <w:rPr>
          <w:sz w:val="28"/>
          <w:szCs w:val="28"/>
        </w:rPr>
        <w:t xml:space="preserve">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физическими лицами обязательных требований, соблюдение которых оценива</w:t>
      </w:r>
      <w:r>
        <w:rPr>
          <w:sz w:val="28"/>
          <w:szCs w:val="28"/>
        </w:rPr>
        <w:t xml:space="preserve">ется государственной</w:t>
      </w:r>
      <w:r>
        <w:rPr>
          <w:sz w:val="28"/>
          <w:szCs w:val="28"/>
        </w:rPr>
        <w:t xml:space="preserve"> жилищной инспекцией Воронежской области (далее - инспекция) при осуществлении регионального государственного жилищного надзора на территории Воронежской области, устранения причин, факторов и условий, способствующих нарушению таких обязательных требований</w:t>
      </w:r>
      <w:r>
        <w:rPr>
          <w:sz w:val="28"/>
          <w:szCs w:val="28"/>
        </w:rPr>
        <w:t xml:space="preserve">.</w:t>
      </w:r>
      <w:r>
        <w:rPr>
          <w:sz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2. Поднадзорными субъектами в рамках программы профилактики являются юридические лица, индивидуальные предприниматели и физические лица, осуществляющие управление жилищным фондом, его эксплуатацию и использование.</w:t>
      </w:r>
      <w:r>
        <w:rPr>
          <w:sz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3. Обяза</w:t>
      </w:r>
      <w:r>
        <w:rPr>
          <w:sz w:val="28"/>
          <w:szCs w:val="28"/>
          <w:highlight w:val="none"/>
        </w:rPr>
        <w:t xml:space="preserve">тельными требования, соблюдение которых оценивается инспекцией при осуществлении регионального государственного жилищного надзора, устанавливаются жилищным законодательством, законодательством об энергосбережении и о повышении энергетической эффективности.</w:t>
      </w:r>
      <w:r>
        <w:rPr>
          <w:sz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</w:rPr>
      </w:r>
      <w:r/>
    </w:p>
    <w:p>
      <w:pPr>
        <w:pStyle w:val="728"/>
        <w:ind w:left="0" w:firstLine="0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 Анализ текущего состояния осуществления регионального государственного жилищного надзора</w:t>
      </w:r>
      <w:r>
        <w:rPr>
          <w:sz w:val="28"/>
        </w:rPr>
      </w:r>
      <w:r/>
    </w:p>
    <w:p>
      <w:pPr>
        <w:pStyle w:val="728"/>
        <w:ind w:left="0" w:firstLine="0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В первом полугодии 2021 года инспекцией проведены 484 проверки по региональному государственному жилищному надзору, из них 4 плановые и 480 внеплановых проверок.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По результатам проверок выдано 183 предписания, привлечено к административной ответственности 103 должностных и юридических лиц.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Наиболее типичные нарушения, выявленные в результате проверок: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нарушения правил содержания и ремонта многоквартирных домов - более 20%,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нарушение требований законодательства о раскрытии информации - более 35%;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нарушение правил пользования жилыми помещениями - более 15 %;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нарушение порядка расчета платы и внесения платы за жилищно-коммунальные услуги - более 10%.</w:t>
      </w:r>
      <w:r>
        <w:rPr>
          <w:sz w:val="28"/>
          <w:szCs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360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В целях предотвращения нарушений обязательных требований  поднадзорными субъектами на официальном сайте инспекции в сети Интернет на главной стран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ице в рубриках «Результаты работы» и «Информация для управляющих организаций», в разделах сайта «Новости», «Жилищный надзор», «Капитальный ремонт» постоянно публикуется информация по вопросам соблюдения обязательных требований и об изменениях в них. </w:t>
      </w: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360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В ука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занных разделах сайта систематически размещается информация  о практике осуществления инспекцией контрольно-надзорной деятельности, указываются наиболее часто выявляемые нарушения обязательных требований с рекомендациями о мерах, которые необходимо предпри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нять в целях недопущения нарушений.</w:t>
      </w: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360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В Инспекции утверждены ключевые показатели контрольно-надзорной деятельности и их паспорта.</w:t>
      </w: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360"/>
        <w:rPr>
          <w:sz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Приказом инспекции от 06.03.2020 № 31 утвержден Перечень показателей результативности и эффективности контрольно-надзорной деятельности государственной жилищной инспекции Воронежской области по осуществлению регионального государственного жилищ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н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ого надзора на 2020 год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.</w:t>
      </w:r>
      <w:r/>
    </w:p>
    <w:p>
      <w:pPr>
        <w:contextualSpacing w:val="true"/>
        <w:ind w:firstLine="709"/>
        <w:jc w:val="both"/>
        <w:spacing w:lineRule="auto" w:line="360"/>
        <w:rPr>
          <w:sz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И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тоговая оценка результативности и эффективности контрольно-надзорной деятельности Инспекции по осуществлению регионального государственного жилищного надзора за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 2020 год составила:</w:t>
      </w: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360"/>
        <w:rPr>
          <w:sz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- по ключевым показателям группы А, отражающим уровень безопасности охраняемых законом ценностей, выражающийся в минимизации причинения им вреда (ущерба) процент выполнения - 100%;</w:t>
      </w: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360"/>
        <w:rPr>
          <w:sz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-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 по индикативным показателям группы Б, отражающим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при осуществлении в отношени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и них контрольно-надзорных мероприятий процент выполнения - от 80% до 100%;</w:t>
      </w: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360"/>
        <w:rPr>
          <w:sz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 - итоговая балльная оценка - 2,6, что соответствует плановым показателям.</w:t>
      </w:r>
      <w:r>
        <w:rPr>
          <w:sz w:val="28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Приказом инспекции от 15.12.2020 № 135 утверждена программа профилактики нарушений требований на 2020 год и на период 2022-2023 годов.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реализации данной программы инспекцией утверждены перечни нормативных правовых актов, содержащих обязательные требования, соблюдение которых оценивается при осуществлении регионального государственного жилищного надзора.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Указанные перечни размещены на официальном сайте инспекции </w:t>
      </w:r>
      <w:r>
        <w:rPr>
          <w:sz w:val="28"/>
          <w:szCs w:val="28"/>
          <w:highlight w:val="none"/>
        </w:rPr>
        <w:t xml:space="preserve">в сети Интернет в разделе «Контрольно-надзорная деятельность». Тексты указанных в перечнях нормативных правовых актов или их отдельных частей размещены и доступны для ознакомления в разделе «Законодательство» на официальном сайте инспекции в сети Интернет.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официальном сайте инспекции</w:t>
      </w:r>
      <w:r>
        <w:rPr>
          <w:sz w:val="28"/>
          <w:szCs w:val="28"/>
          <w:highlight w:val="none"/>
        </w:rPr>
        <w:t xml:space="preserve"> систематически размещается информация о практике осуществления контрольно-надзорной деятельности, указываются наиболее часто выявляемые нарушения обязательных требований с рекомендациями о мерах, которые необходимо применять в целях недопущения нарушений.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предотвращения нарушений государственными жилищными инспекторами активно применяется выдача предостережений поднадзорным субъектам о недопустимости нарушения обязательных требований.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2020 году и в первой половине 2021 года в связи с выполнением требований указа губернатора Воронежской области от 13.05.2020 № 184-у «О продлении действия мер по обеспечению санитарно-эпидем</w:t>
      </w:r>
      <w:r>
        <w:rPr>
          <w:sz w:val="28"/>
          <w:szCs w:val="28"/>
          <w:highlight w:val="none"/>
        </w:rPr>
        <w:t xml:space="preserve">иологического благополучия населения в Воронежской области в связи с распространением новой коронавирусной инфекции (COVID-19)» использовались дистанционные формы и методы профилактики нарушений обязательных требований, электронные средства взаимодействия.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указанный период особо внимание обращено на разъяснение дополнительных требований к деяте</w:t>
      </w:r>
      <w:r>
        <w:rPr>
          <w:sz w:val="28"/>
          <w:szCs w:val="28"/>
          <w:highlight w:val="none"/>
        </w:rPr>
        <w:t xml:space="preserve">льности организаций, осуществляющих управление многоквартирными домами, в сложившейся санитарно-эпидемиологической обстановке, предпринимались меры к обеспечению выполнения требований, направленных на стабилизацию и улучшение эпидемиологической обстановки.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профилактики нарушений в части незаконного представления платежных документов на оплату жилищно-коммунальных услуг на официальной </w:t>
      </w:r>
      <w:r>
        <w:rPr>
          <w:sz w:val="28"/>
          <w:szCs w:val="28"/>
          <w:highlight w:val="none"/>
        </w:rPr>
        <w:t xml:space="preserve">сайте ежемесячно публикуется информация о внесении изменений в реестр лицензий Воронежской области, позволяющая собственникам помещений своевременно получать сведения об изменении способа управления многоквартирными домами и (или) управляющей организации.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Снижение рисков п</w:t>
      </w:r>
      <w:r>
        <w:rPr>
          <w:sz w:val="28"/>
          <w:szCs w:val="28"/>
          <w:highlight w:val="none"/>
        </w:rPr>
        <w:t xml:space="preserve">ричинения вреда (ущерба) охраняемым законом ценностям может быть обеспечено за счет информированности об обязательных требованиях и мотивации к добросовестному поведению юридических лиц, индивидуальных предпринимателей и граждан в сфере жилищных отношений.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Цели и задачи реализации программы профилактики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Целями программы являются: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предупреждение и предотвращ</w:t>
      </w:r>
      <w:r>
        <w:rPr>
          <w:sz w:val="28"/>
          <w:szCs w:val="28"/>
          <w:highlight w:val="none"/>
        </w:rPr>
        <w:t xml:space="preserve">ение возникновения рисков причинения вреда (ущерба) охраняемым законом ценностям вследствие нарушения обязательных требований законодательства при осуществлении деятельности по управлению многоквартирными домами, по использованию жилых и нежилых помещений;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снижение административной нагрузки на юридических лиц и индивидуальных предпринимателей;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устранение существующих и потенциальных причин и условий, способствующих нарушению обязательных требований и возникновению рисков причинения вреда (ущерба) охраняемым законом ценностям в сфере жилищных отношений;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повышение эффективности и результативности осуществления регионального государственного жилищного надзора.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0"/>
        <w:jc w:val="left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Основными задачами программы являются:</w:t>
      </w:r>
      <w:r>
        <w:rPr>
          <w:sz w:val="28"/>
          <w:szCs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  <w:tab/>
        <w:t xml:space="preserve">- выявление причин, факторов и условий, способствующих возникновению рисков причинения вреда (ущерба) в результате нарушения обязательных требований, </w:t>
      </w:r>
      <w:r>
        <w:rPr>
          <w:sz w:val="28"/>
          <w:szCs w:val="28"/>
          <w:highlight w:val="none"/>
        </w:rPr>
        <w:t xml:space="preserve">установленных жилищным законодательством, законодательством об энергосбережении и о повышении энергетической эффективности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- формирование у </w:t>
      </w:r>
      <w:r>
        <w:rPr>
          <w:b w:val="false"/>
          <w:sz w:val="28"/>
          <w:szCs w:val="28"/>
        </w:rPr>
        <w:t xml:space="preserve">поднадзорных</w:t>
      </w:r>
      <w:r>
        <w:rPr>
          <w:sz w:val="28"/>
          <w:szCs w:val="28"/>
        </w:rPr>
        <w:t xml:space="preserve"> субъектов единого пони</w:t>
      </w:r>
      <w:r>
        <w:rPr>
          <w:sz w:val="28"/>
          <w:szCs w:val="28"/>
        </w:rPr>
        <w:t xml:space="preserve">мания обязательных требований, нарушение которых влечет возникновение рисков причинения вреда (ущерба), повышение их информированности о способах соблюдения обязательных требований и устранения рисков причинения вреда (ущерба) охраняемым законом ценностям;</w:t>
      </w:r>
      <w:r>
        <w:rPr>
          <w:sz w:val="28"/>
          <w:szCs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- формирование и внедрение новых форм взаимодействия с </w:t>
      </w:r>
      <w:r>
        <w:rPr>
          <w:b w:val="false"/>
          <w:sz w:val="28"/>
          <w:szCs w:val="28"/>
          <w:highlight w:val="none"/>
        </w:rPr>
        <w:t xml:space="preserve">поднадзорными</w:t>
      </w:r>
      <w:r>
        <w:rPr>
          <w:sz w:val="28"/>
          <w:szCs w:val="28"/>
          <w:highlight w:val="none"/>
        </w:rPr>
        <w:t xml:space="preserve"> субъектами;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осуществление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Проведение профилактических мероприятий является приоритетным по отношению к проведению надзорных мероприятий.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0"/>
        <w:jc w:val="left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left="0" w:firstLine="0"/>
        <w:jc w:val="center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4. Перечень профилактических мероприятий, </w:t>
      </w:r>
      <w:r/>
    </w:p>
    <w:p>
      <w:pPr>
        <w:pStyle w:val="728"/>
        <w:ind w:left="0" w:firstLine="0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сроки (периодичность) их проведения</w:t>
      </w:r>
      <w:r>
        <w:rPr>
          <w:sz w:val="28"/>
          <w:szCs w:val="28"/>
        </w:rPr>
      </w:r>
      <w:r/>
    </w:p>
    <w:p>
      <w:pPr>
        <w:pStyle w:val="728"/>
        <w:ind w:left="0" w:firstLine="0"/>
        <w:jc w:val="left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Перечень профилактических мероприятий определяется в соответствии с главой 10 Федеральным законом от 31.07.2020 № 248-ФЗ «О государственном контроле (надзоре) и муниципальном контроле»:</w:t>
      </w:r>
      <w:r>
        <w:rPr>
          <w:sz w:val="28"/>
          <w:szCs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1. Информирование </w:t>
      </w:r>
      <w:r>
        <w:rPr>
          <w:b w:val="false"/>
          <w:sz w:val="28"/>
          <w:szCs w:val="28"/>
          <w:highlight w:val="none"/>
        </w:rPr>
        <w:t xml:space="preserve">поднадзорных</w:t>
      </w:r>
      <w:r>
        <w:rPr>
          <w:sz w:val="28"/>
          <w:szCs w:val="28"/>
          <w:highlight w:val="none"/>
        </w:rPr>
        <w:t xml:space="preserve"> лиц и иных заинтересованны лиц по вопросам соблюдения обязательн</w:t>
      </w:r>
      <w:r>
        <w:rPr>
          <w:sz w:val="28"/>
          <w:szCs w:val="28"/>
          <w:highlight w:val="none"/>
        </w:rPr>
        <w:t xml:space="preserve">ых требований осуществляется посредством размещения соответствующих сведений на официальном сайте инспекции в сети Интернет, в средствах массовой информации, через личные кабинеты поднадзорных лиц в государственных информационных системах (при их наличии).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порядке информирования подлежат размещению и поддерживаются </w:t>
      </w:r>
      <w:r>
        <w:rPr>
          <w:sz w:val="28"/>
          <w:szCs w:val="28"/>
          <w:highlight w:val="none"/>
        </w:rPr>
        <w:t xml:space="preserve">в актуальном состоянии на официальном сайте инспекции в сети "Интернет": </w:t>
      </w:r>
      <w:r>
        <w:rPr>
          <w:sz w:val="28"/>
          <w:szCs w:val="28"/>
          <w:highlight w:val="none"/>
        </w:rPr>
        <w:t xml:space="preserve">тексты нормативных правовых актов, регулирующих осуществление регионального государственного жилищного надзора; </w:t>
      </w:r>
      <w:r>
        <w:rPr>
          <w:sz w:val="28"/>
          <w:szCs w:val="28"/>
          <w:highlight w:val="none"/>
        </w:rPr>
        <w:t xml:space="preserve">сведения об изменениях, внесенных в нормативные правовые акты, регулирующие осуществление регионального государственного жилищного надзора, о сроках и порядке их вступления в силу; </w:t>
      </w:r>
      <w:r>
        <w:rPr>
          <w:sz w:val="28"/>
          <w:szCs w:val="28"/>
          <w:highlight w:val="none"/>
        </w:rPr>
        <w:t xml:space="preserve">перечень нормативных правовых актов с </w:t>
      </w:r>
      <w:r>
        <w:rPr>
          <w:sz w:val="28"/>
          <w:szCs w:val="28"/>
          <w:highlight w:val="none"/>
        </w:rPr>
        <w:t xml:space="preserve">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жилищного надзора, а также информация о мерах ответственности, применяемых при нарушении обязательных т</w:t>
      </w:r>
      <w:r>
        <w:rPr>
          <w:sz w:val="28"/>
          <w:szCs w:val="28"/>
          <w:highlight w:val="none"/>
        </w:rPr>
        <w:t xml:space="preserve">ребований, с текстами в действующей редакции; </w:t>
      </w:r>
      <w:r>
        <w:rPr>
          <w:sz w:val="28"/>
          <w:szCs w:val="28"/>
          <w:highlight w:val="none"/>
        </w:rPr>
        <w:t xml:space="preserve">руководства по соблюдению обязательных требований, разработанные и утвержденные в соответствии с действующим законодательством; </w:t>
      </w:r>
      <w:r>
        <w:rPr>
          <w:sz w:val="28"/>
          <w:szCs w:val="28"/>
          <w:highlight w:val="none"/>
        </w:rPr>
        <w:t xml:space="preserve">перечень индикаторов риска нарушения обязательных требований, порядок отнесения объектов контроля к категориям риска; </w:t>
      </w:r>
      <w:r>
        <w:rPr>
          <w:sz w:val="28"/>
          <w:szCs w:val="28"/>
          <w:highlight w:val="none"/>
        </w:rPr>
        <w:t xml:space="preserve">перечень объектов надзора, учитываемых в рамках формирования ежегодного плана надзорных мероприятий, с указанием категории риска; </w:t>
      </w:r>
      <w:r>
        <w:rPr>
          <w:sz w:val="28"/>
          <w:szCs w:val="28"/>
          <w:highlight w:val="none"/>
        </w:rPr>
        <w:t xml:space="preserve">программа профилактики рисков причинения вреда и план проведения плановых надзорных мероприятий контрольным (надзорным) органом (при проведении таких мероприятий); </w:t>
      </w:r>
      <w:r>
        <w:rPr>
          <w:sz w:val="28"/>
          <w:szCs w:val="28"/>
          <w:highlight w:val="none"/>
        </w:rPr>
        <w:t xml:space="preserve">исчерпывающий перечень сведений, которые могут запрашиваться инспекцией у поднадзорного лица; </w:t>
      </w:r>
      <w:r>
        <w:rPr>
          <w:sz w:val="28"/>
          <w:szCs w:val="28"/>
          <w:highlight w:val="none"/>
        </w:rPr>
        <w:t xml:space="preserve">сведения о способах получения консультаций по вопросам соблюдения обязательных требований; </w:t>
      </w:r>
      <w:r>
        <w:rPr>
          <w:sz w:val="28"/>
          <w:szCs w:val="28"/>
          <w:highlight w:val="none"/>
        </w:rPr>
        <w:t xml:space="preserve">сведения о применении инспекцией мер стимулирования добросовестности поднадзорных лиц (при наличии);</w:t>
      </w:r>
      <w:r>
        <w:t xml:space="preserve"> </w:t>
      </w:r>
      <w:r>
        <w:rPr>
          <w:sz w:val="28"/>
          <w:szCs w:val="28"/>
          <w:highlight w:val="none"/>
        </w:rPr>
        <w:t xml:space="preserve">сведения о порядке досудебного обжалования решений инспекции, действий (бездействия) её должностных лиц;</w:t>
      </w:r>
      <w:r>
        <w:rPr>
          <w:sz w:val="28"/>
          <w:szCs w:val="28"/>
          <w:highlight w:val="none"/>
        </w:rPr>
        <w:t xml:space="preserve"> доклады, содержащие результаты обобщения правоприменительной практики инспекции; </w:t>
      </w:r>
      <w:r>
        <w:rPr>
          <w:sz w:val="28"/>
          <w:szCs w:val="28"/>
          <w:highlight w:val="none"/>
        </w:rPr>
        <w:t xml:space="preserve">доклады о региональном государственном жилищном надзоре; </w:t>
      </w:r>
      <w:r>
        <w:rPr>
          <w:sz w:val="28"/>
          <w:szCs w:val="28"/>
          <w:highlight w:val="none"/>
        </w:rPr>
        <w:t xml:space="preserve">информация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</w:t>
      </w:r>
      <w:r>
        <w:rPr>
          <w:sz w:val="28"/>
          <w:szCs w:val="28"/>
          <w:highlight w:val="none"/>
        </w:rPr>
        <w:t xml:space="preserve">ований, представленных поднадзорными лицами; </w:t>
      </w:r>
      <w:r>
        <w:rPr>
          <w:sz w:val="28"/>
          <w:szCs w:val="28"/>
          <w:highlight w:val="none"/>
        </w:rPr>
        <w:t xml:space="preserve">иные сведения, предусмотренные нормативными правовыми актами Российской Федерации, нормативными правовыми актами Воронежской области.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Ответственными за осуществление информирования являются: отдел надзора за содержанием многоквартирных домов, </w:t>
      </w:r>
      <w:r>
        <w:rPr>
          <w:sz w:val="28"/>
          <w:szCs w:val="28"/>
          <w:highlight w:val="none"/>
        </w:rPr>
        <w:t xml:space="preserve">отдел надзора за начислением платы за коммунальные услуги и установлением нормативов, отдел правового регу</w:t>
      </w:r>
      <w:r>
        <w:rPr>
          <w:sz w:val="28"/>
          <w:szCs w:val="28"/>
          <w:highlight w:val="none"/>
        </w:rPr>
        <w:t xml:space="preserve">лирования, отдел надзора за обеспечением газовой безопасности, качества коммунальных услуг и энергоэффективности многоквартирных домов, отдел надзора за проведением капитального ремонта и ведения реестра спецсчетов, отдел лицензирования и ведения реестров.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Обобщение правоприменительной практики.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Обобщение правоприменительной практики проводится для решения следующих задач: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обеспечение единообразных подходов к применению инспекции и её должностными лицами обязательных требований, законодательства Российской Федерации о государственном контроле (надзоре);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4) подготовка предложений об актуализации обязательных требований;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5) подготовка предложений о внесении изменений в законодательство Российской Федерации о государственном контроле (надзоре).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результатам обобщения правоприменительной практики ежегодно осуществляется подготовка доклада в срок не позднее 1 апреля календарного года, следующего за календарным годом, по итогам которого проведено обобщение.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Доклад о правоприменительной практики подлежит публичному обсуждению.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Ответственными за обобщение и подготовку доклада о правоприменительной практики являются: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ответственный исполнитель - отдел правового регулирования,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соисполнители: </w:t>
      </w:r>
      <w:r>
        <w:rPr>
          <w:sz w:val="28"/>
          <w:szCs w:val="28"/>
          <w:highlight w:val="none"/>
        </w:rPr>
        <w:t xml:space="preserve">отдел надзора за содержанием многокварти</w:t>
      </w:r>
      <w:r>
        <w:rPr>
          <w:sz w:val="28"/>
          <w:szCs w:val="28"/>
          <w:highlight w:val="none"/>
        </w:rPr>
        <w:t xml:space="preserve">рных домов, отдел надзора за обеспечением газовой безопасности, качества коммунальных услуг и энергоэффективности многоквартирных домов, отдел надзора за проведением капитального ремонта и ведения реестра спецсчетов, отдел лицензирования и ведения реестров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отдел надзора за начислением платы за коммунальные услуги и установлением нормативов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Объявление предостережения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9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</w:rPr>
        <w:t xml:space="preserve">В случае наличия у инспекции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</w:t>
      </w:r>
      <w:r>
        <w:rPr>
          <w:sz w:val="28"/>
        </w:rPr>
        <w:t xml:space="preserve">р</w:t>
      </w:r>
      <w:r>
        <w:rPr>
          <w:sz w:val="28"/>
        </w:rPr>
        <w:t xml:space="preserve">ичинило вред (ущерб) охраняемым законом ценностям либо создало угрозу причинения вреда (ущерба) охраняемым законом ценностям,</w:t>
      </w:r>
      <w:r>
        <w:rPr>
          <w:sz w:val="28"/>
        </w:rPr>
        <w:t xml:space="preserve"> инспекция в порядке, предусмотренном Федеральным законом «О государственном контроле (надзоре) и муниципальном контроле в Российской Федерации» объявляет и направляет поднадзорному лицу предостережение о недопустимости нарушения обязательных требований и </w:t>
      </w:r>
      <w:r>
        <w:rPr>
          <w:sz w:val="28"/>
        </w:rPr>
        <w:t xml:space="preserve">предлагает принять меры по обеспечению соблюдения обязательных требований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9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Периодичности выдачи предостережений - по мере необходимости в случае выявления предусмотренных законодательством оснований.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Ответственными за объявление предостережений являются: отдел надзора за содержанием многоквартирных домов, </w:t>
      </w:r>
      <w:r>
        <w:rPr>
          <w:sz w:val="28"/>
          <w:szCs w:val="28"/>
          <w:highlight w:val="none"/>
        </w:rPr>
        <w:t xml:space="preserve">отдел надзора за начислением платы за коммунальные услуги и установлением нормативов, отдел правового регу</w:t>
      </w:r>
      <w:r>
        <w:rPr>
          <w:sz w:val="28"/>
          <w:szCs w:val="28"/>
          <w:highlight w:val="none"/>
        </w:rPr>
        <w:t xml:space="preserve">лирования, отдел надзора за обеспечением газовой безопасности, качества коммунальных услуг и энергоэффективности многоквартирных домов, отдел надзора за проведением капитального ремонта и ведения реестра спецсчетов, отдел лицензирования и ведения реестров.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9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Консультирование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По обращениям поднадзорных лиц и их представителей должностные лица инспекции осуществляют консультирование - дают разъяснения по вопросам, связанным с организацией и осуществлением регионального государственного жилищного надзора.</w:t>
      </w:r>
      <w:r>
        <w:rPr>
          <w:sz w:val="28"/>
          <w:szCs w:val="28"/>
          <w:highlight w:val="none"/>
        </w:rPr>
        <w:t xml:space="preserve"> Консультирование осуществляется без взимания платы.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надзорного мероприятия, </w:t>
      </w:r>
      <w:r>
        <w:rPr>
          <w:rFonts w:eastAsia="Calibri"/>
          <w:sz w:val="28"/>
          <w:highlight w:val="none"/>
        </w:rPr>
        <w:t xml:space="preserve">а также в письменной форме.</w:t>
      </w:r>
      <w:r/>
    </w:p>
    <w:p>
      <w:pPr>
        <w:ind w:left="0" w:firstLine="708"/>
        <w:jc w:val="both"/>
        <w:spacing w:lineRule="auto" w:line="360"/>
        <w:rPr>
          <w:rFonts w:eastAsia="Calibri"/>
          <w:highlight w:val="none"/>
        </w:rPr>
      </w:pPr>
      <w:r>
        <w:rPr>
          <w:rFonts w:eastAsia="Calibri"/>
          <w:sz w:val="28"/>
          <w:highlight w:val="none"/>
        </w:rPr>
        <w:t xml:space="preserve">Консультирование, в том числе письменное, осуществляется по следующим вопросам:</w:t>
      </w:r>
      <w:r>
        <w:rPr>
          <w:rFonts w:eastAsia="Calibri"/>
          <w:highlight w:val="none"/>
        </w:rPr>
      </w:r>
      <w:r/>
    </w:p>
    <w:p>
      <w:pPr>
        <w:ind w:left="0" w:firstLine="708"/>
        <w:jc w:val="both"/>
        <w:spacing w:lineRule="auto" w:line="360"/>
        <w:rPr>
          <w:rFonts w:eastAsia="Calibri"/>
          <w:highlight w:val="none"/>
        </w:rPr>
      </w:pPr>
      <w:r>
        <w:rPr>
          <w:rFonts w:eastAsia="Calibri"/>
          <w:sz w:val="28"/>
          <w:highlight w:val="none"/>
        </w:rPr>
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жилищного надзора;</w:t>
      </w:r>
      <w:r>
        <w:rPr>
          <w:rFonts w:eastAsia="Calibri"/>
          <w:highlight w:val="none"/>
        </w:rPr>
      </w:r>
      <w:r/>
    </w:p>
    <w:p>
      <w:pPr>
        <w:ind w:left="0" w:firstLine="708"/>
        <w:jc w:val="both"/>
        <w:spacing w:lineRule="auto" w:line="360"/>
        <w:rPr>
          <w:rFonts w:eastAsia="Calibri"/>
          <w:highlight w:val="none"/>
        </w:rPr>
      </w:pPr>
      <w:r>
        <w:rPr>
          <w:rFonts w:eastAsia="Calibri"/>
          <w:sz w:val="28"/>
          <w:highlight w:val="none"/>
        </w:rPr>
        <w:t xml:space="preserve">- разъяснение положений нормативных правовых актов, регламентирующих порядок осуществления регионального государственного жилищного надзора;</w:t>
      </w:r>
      <w:r>
        <w:rPr>
          <w:rFonts w:eastAsia="Calibri"/>
          <w:highlight w:val="none"/>
        </w:rPr>
      </w:r>
      <w:r/>
    </w:p>
    <w:p>
      <w:pPr>
        <w:ind w:left="0" w:firstLine="708"/>
        <w:jc w:val="both"/>
        <w:spacing w:lineRule="auto" w:line="360"/>
        <w:rPr>
          <w:rFonts w:eastAsia="Calibri"/>
          <w:highlight w:val="none"/>
        </w:rPr>
      </w:pPr>
      <w:r>
        <w:rPr>
          <w:rFonts w:eastAsia="Calibri"/>
          <w:sz w:val="28"/>
          <w:highlight w:val="none"/>
        </w:rPr>
        <w:t xml:space="preserve">- порядок обжалования решений и действий (бездействия)</w:t>
      </w:r>
      <w:r>
        <w:rPr>
          <w:rFonts w:eastAsia="Calibri"/>
          <w:sz w:val="28"/>
          <w:highlight w:val="none"/>
        </w:rPr>
        <w:t xml:space="preserve"> инспекции и её должностных лиц при осуществлении регионального государственного жилищного надзора.</w:t>
      </w:r>
      <w:r>
        <w:rPr>
          <w:rFonts w:eastAsia="Calibri"/>
          <w:highlight w:val="none"/>
        </w:rPr>
      </w:r>
      <w:r/>
    </w:p>
    <w:p>
      <w:pPr>
        <w:ind w:left="0" w:firstLine="708"/>
        <w:jc w:val="both"/>
        <w:spacing w:lineRule="auto" w:line="360"/>
        <w:rPr>
          <w:rFonts w:eastAsia="Calibri"/>
          <w:highlight w:val="none"/>
        </w:rPr>
      </w:pPr>
      <w:r>
        <w:rPr>
          <w:rFonts w:eastAsia="Calibri"/>
          <w:sz w:val="28"/>
          <w:highlight w:val="none"/>
        </w:rPr>
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инспекции в сети Интернет.</w:t>
      </w:r>
      <w:r>
        <w:rPr>
          <w:rFonts w:eastAsia="Calibri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Поднадзорное лицо вправе направить запрос о предоставлении письменно</w:t>
      </w:r>
      <w:r>
        <w:rPr>
          <w:sz w:val="28"/>
          <w:szCs w:val="28"/>
          <w:highlight w:val="none"/>
        </w:rPr>
        <w:t xml:space="preserve">го ответа в сроки, установленные Федеральным законом от 02.05.2006 года № 59-ФЗ "О порядке рассмотрения обращений граждан Российской Федерации".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осуществлении консультирования должностное лицо инспекции обязано соблюдать конфиденциальность информации, доступ к которой ограничен в соответствии с законодательством Российской Федерации.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 ходе консультирования не может предоставляться информация, содержащая оценку конкретного надзорного мероприятия, решений и (или) действий должностных лиц инспекции, иных участников надзорного меропри</w:t>
      </w:r>
      <w:r>
        <w:rPr>
          <w:sz w:val="28"/>
          <w:szCs w:val="28"/>
          <w:highlight w:val="none"/>
        </w:rPr>
        <w:t xml:space="preserve">ятия, а также результаты проведенных в рамках надзорного мероприятия экспертизы, испытаний.</w:t>
      </w:r>
      <w:r/>
    </w:p>
    <w:p>
      <w:pPr>
        <w:pStyle w:val="728"/>
        <w:ind w:left="0" w:firstLine="708"/>
        <w:jc w:val="both"/>
        <w:spacing w:lineRule="auto" w:line="360"/>
        <w:tabs>
          <w:tab w:val="left" w:pos="63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Информация, полученная инспекцией в ходе консультирования, не может использоваться инспекцией в целях оценки поднадзорного лица по вопросам соблюдения обязательных требований.</w:t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Ответственными за консультирование являются: отдел надзора за содержанием многоквартирных домов, </w:t>
      </w:r>
      <w:r>
        <w:rPr>
          <w:sz w:val="28"/>
          <w:szCs w:val="28"/>
          <w:highlight w:val="none"/>
        </w:rPr>
        <w:t xml:space="preserve">отдел надзора за начислением платы за коммунальные услуги и установлением нормативов, отдел правового регу</w:t>
      </w:r>
      <w:r>
        <w:rPr>
          <w:sz w:val="28"/>
          <w:szCs w:val="28"/>
          <w:highlight w:val="none"/>
        </w:rPr>
        <w:t xml:space="preserve">лирования, отдел надзора за обеспечением газовой безопасности, качества коммунальных услуг и энергоэффективности многоквартирных домов, отдел надзора за проведением капитального ремонта и ведения реестра спецсчетов, отдел лицензирования и ведения реестров.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онсультирование по однотипным обращениям контролируемых лиц и их представителей осуществляется посредством размещения на официальном сайте инспекции в сети "Интернет" письменн</w:t>
      </w:r>
      <w:r>
        <w:rPr>
          <w:sz w:val="28"/>
          <w:szCs w:val="28"/>
          <w:highlight w:val="none"/>
        </w:rPr>
        <w:t xml:space="preserve">ого разъяснения, подписанного руководителем, заместителем руководителя или начальником отдела инспекции.</w:t>
      </w:r>
      <w:r/>
    </w:p>
    <w:p>
      <w:pPr>
        <w:pStyle w:val="728"/>
        <w:ind w:left="0"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Инспекция осуществляют учет консультирований.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Консультирование осуществляется по мере необходимости, письменное консультирование производится не позднее 10 дней со дня поступления запроса о предоставлении разъяснения.</w:t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</w:rPr>
        <w:t xml:space="preserve">5. Профилактический визит проводится в форме профилактической беседы по месту осуществления деятельности поднадзорного лица либо путем использования видео-конференц-связи.</w:t>
      </w:r>
      <w:r>
        <w:rPr>
          <w:sz w:val="28"/>
        </w:rPr>
      </w:r>
      <w:r/>
    </w:p>
    <w:p>
      <w:pPr>
        <w:ind w:left="0" w:firstLine="708"/>
        <w:jc w:val="both"/>
        <w:spacing w:lineRule="auto" w:line="360"/>
        <w:rPr>
          <w:rFonts w:eastAsia="Calibri"/>
          <w:highlight w:val="none"/>
        </w:rPr>
      </w:pPr>
      <w:r>
        <w:rPr>
          <w:rFonts w:eastAsia="Calibri"/>
          <w:sz w:val="28"/>
          <w:highlight w:val="none"/>
        </w:rPr>
        <w:t xml:space="preserve">О</w:t>
      </w:r>
      <w:r>
        <w:rPr>
          <w:rFonts w:eastAsia="Calibri"/>
          <w:sz w:val="28"/>
          <w:highlight w:val="none"/>
        </w:rPr>
        <w:t xml:space="preserve">бязательный профилактический визит проводится в отношении поднадзорных лиц, приступающих к осуществлению деятельности по управлению многоквартирными домами, а также в отношении объектов надзора, отнесенных к категории значительного риска.</w:t>
      </w:r>
      <w:r>
        <w:rPr>
          <w:rFonts w:eastAsia="Calibri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highlight w:val="none"/>
        </w:rPr>
        <w:t xml:space="preserve">Сроки проведения обязательного профилактического визита - не позднее 30 рабочих дней со дня начала поднадзорным лицом деятельности по управлению многоквартирными домами или со дня отнесения его к</w:t>
      </w:r>
      <w:r>
        <w:rPr>
          <w:sz w:val="28"/>
          <w:highlight w:val="none"/>
        </w:rPr>
        <w:t xml:space="preserve"> категории значительного риска.</w:t>
      </w:r>
      <w:r>
        <w:rPr>
          <w:sz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highlight w:val="none"/>
        </w:rPr>
        <w:t xml:space="preserve">В течении последующих 12 месяцев со дня проведения первого профилактического визита в отношении поднадзорн</w:t>
      </w:r>
      <w:r>
        <w:rPr>
          <w:sz w:val="28"/>
          <w:highlight w:val="none"/>
        </w:rPr>
        <w:t xml:space="preserve">ого лица, приступившего к осуществлению деятельности по управлению многоквартирными домами или отнесенного к категории значительного риска обязательные профилактические визиты проводятся в отношении данного понадзорного лица один раз в три месяца.</w:t>
      </w:r>
      <w:r>
        <w:rPr>
          <w:sz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highlight w:val="none"/>
        </w:rPr>
        <w:t xml:space="preserve">Профилактические</w:t>
      </w:r>
      <w:r>
        <w:rPr>
          <w:sz w:val="28"/>
          <w:highlight w:val="none"/>
        </w:rPr>
        <w:t xml:space="preserve"> визиты могут осуществляться в отношении поднадзорных субъектов, относящихся к категориям среднего и низкого риска по решению руководителя (заместителя руководителя) инспекции по результатам анализа исполнения указанными субъектами обязательных требований.</w:t>
      </w:r>
      <w:r>
        <w:rPr>
          <w:sz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highlight w:val="none"/>
        </w:rPr>
        <w:t xml:space="preserve">В течение квартала в отношении одного поднадзорного субъекта не может быть проведено более одного профилактического визита.</w:t>
      </w:r>
      <w:r>
        <w:rPr>
          <w:sz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Ответственными за проведение профилактических визитов являются: отдел надзора за содержанием многоквартирных домов, </w:t>
      </w:r>
      <w:r>
        <w:rPr>
          <w:sz w:val="28"/>
          <w:szCs w:val="28"/>
          <w:highlight w:val="none"/>
        </w:rPr>
        <w:t xml:space="preserve">отдел надзора за начислением платы за коммунальные услуги и установлением нормативов, отдел правового регу</w:t>
      </w:r>
      <w:r>
        <w:rPr>
          <w:sz w:val="28"/>
          <w:szCs w:val="28"/>
          <w:highlight w:val="none"/>
        </w:rPr>
        <w:t xml:space="preserve">лирования, отдел надзора за обеспечением газовой безопасности, качества коммунальных услуг и энергоэффективности многоквартирных домов, отдел надзора за проведением капитального ремонта и ведения реестра спецсчетов, отдел лицензирования и ведения реестров.</w:t>
      </w:r>
      <w:r>
        <w:rPr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p>
      <w:pPr>
        <w:pStyle w:val="728"/>
        <w:ind w:left="0" w:firstLine="709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Показатели результативности и эффективности </w:t>
      </w:r>
      <w:r/>
    </w:p>
    <w:p>
      <w:pPr>
        <w:pStyle w:val="728"/>
        <w:ind w:left="0" w:firstLine="709"/>
        <w:jc w:val="center"/>
        <w:spacing w:lineRule="auto" w:line="276"/>
        <w:rPr>
          <w:sz w:val="28"/>
        </w:rPr>
      </w:pPr>
      <w:r>
        <w:rPr>
          <w:sz w:val="28"/>
          <w:szCs w:val="28"/>
          <w:highlight w:val="none"/>
        </w:rPr>
        <w:t xml:space="preserve">программы профилактики</w:t>
      </w:r>
      <w:r>
        <w:rPr>
          <w:sz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</w:rPr>
      </w:pPr>
      <w:r>
        <w:rPr>
          <w:sz w:val="28"/>
          <w:szCs w:val="28"/>
          <w:highlight w:val="none"/>
        </w:rPr>
      </w:r>
      <w:r>
        <w:rPr>
          <w:sz w:val="28"/>
        </w:rPr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</w:rPr>
        <w:tab/>
        <w:t xml:space="preserve">Перечень показателей результативности и эффективности программы профилактики:</w:t>
      </w:r>
      <w:r/>
    </w:p>
    <w:p>
      <w:pPr>
        <w:pStyle w:val="728"/>
        <w:ind w:left="0" w:firstLine="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  <w:t xml:space="preserve">1. Соотношение количества профилактических мероприятий к количеству проведенных надзорных мероприятий.</w:t>
        <w:tab/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Показатель рассчитывается по формуле:</w:t>
      </w:r>
      <w:r>
        <w:rPr>
          <w:sz w:val="28"/>
          <w:szCs w:val="28"/>
          <w:highlight w:val="none"/>
        </w:rPr>
        <w:t xml:space="preserve"> В = Х/У*100%, где В - расчетное значение показателя, Х - количество проведенных за соответствующий календарный год профилактических мероприятий, У - количество проведенных за соответствующий календарный год надзорных мероприятий.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Значение показателя: более 50% - 5 баллов, 30-50% - 3 балла, 10-29% - 1 балл, менее 10% - 0 баллов.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Доля поднадзорных лиц, охваченных профилактическими визитами.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</w:rPr>
        <w:t xml:space="preserve">Показатель рассчитывается по формуле:</w:t>
      </w:r>
      <w:r>
        <w:rPr>
          <w:sz w:val="28"/>
          <w:szCs w:val="28"/>
          <w:highlight w:val="none"/>
        </w:rPr>
        <w:t xml:space="preserve"> С = Х/У*100%, где С - расчетное значение показателя, Х - количество поднадзорных лиц, охваченных профилактическими визитами, У - общее количество всех поднадзорных лиц.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Значение показателя: более 30% - 5 баллов, 15-30% - 3 балла, 5-14% - 1 балл, менее 5% - 0 баллов.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Соотношение количест</w:t>
      </w:r>
      <w:r>
        <w:rPr>
          <w:sz w:val="28"/>
          <w:szCs w:val="28"/>
          <w:highlight w:val="none"/>
        </w:rPr>
        <w:t xml:space="preserve">ва поднадзорных лиц, которым были объявлены предостережения о недопустимости нарушения обязательных требований и в отношении которых проведены надзорные мероприятия, к общему количеству поднадзорных лиц, в отношении которых проведены надзорные мероприятия.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</w:rPr>
        <w:t xml:space="preserve">Показатель рассчитывается по формуле:</w:t>
      </w:r>
      <w:r>
        <w:rPr>
          <w:sz w:val="28"/>
          <w:szCs w:val="28"/>
          <w:highlight w:val="none"/>
        </w:rPr>
        <w:t xml:space="preserve"> Д = Х/У*100%, где Д - расчетное значение показателя, Х - количество </w:t>
      </w:r>
      <w:r>
        <w:rPr>
          <w:sz w:val="28"/>
          <w:szCs w:val="28"/>
          <w:highlight w:val="none"/>
        </w:rPr>
        <w:t xml:space="preserve">поднадзорных лиц, </w:t>
      </w:r>
      <w:r>
        <w:rPr>
          <w:sz w:val="28"/>
          <w:szCs w:val="28"/>
          <w:highlight w:val="none"/>
        </w:rPr>
        <w:t xml:space="preserve">которым были объявлены предостережения о недопустимости нарушения обязательных требований и в отношении которых проведены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надзорные мероприятия в соответствующем календарном году, У - общее количество поднадзорных лиц, в отношении которых проведены надзорные мероприятия в соответствующем календарном году.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Значение показателя: более 30% - 5 баллов, 15-30% - 3 балла, 5-14% - 1 балл, менее 5% - 0 баллов.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4. Доля количества устраненных нарушений обязательных требований, выявленных при проведении профилактических мероприятий, к общему количеству устраненных нарушений обязательных требований.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</w:rPr>
        <w:t xml:space="preserve">Показатель рассчитывается по формуле:</w:t>
      </w:r>
      <w:r>
        <w:rPr>
          <w:sz w:val="28"/>
          <w:szCs w:val="28"/>
          <w:highlight w:val="none"/>
        </w:rPr>
        <w:t xml:space="preserve"> Е = Х/У*100%, где Е - расчетное значение показателя, Х - количество </w:t>
      </w:r>
      <w:r>
        <w:rPr>
          <w:sz w:val="28"/>
          <w:szCs w:val="28"/>
          <w:highlight w:val="none"/>
        </w:rPr>
        <w:t xml:space="preserve">устраненных нарушений обязательных требований, выявленных при проведении профилактических мероприятий,</w:t>
      </w:r>
      <w:r>
        <w:rPr>
          <w:sz w:val="28"/>
          <w:szCs w:val="28"/>
          <w:highlight w:val="none"/>
        </w:rPr>
        <w:t xml:space="preserve"> У - общее количество устраненных нарушений обязательных требований.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Значение показателя: более 30% - 5 баллов, 15-30% - 3 балла, 5-14% - 1 балл, менее 5% - 0 баллов.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5. Соотношение профилактических визитов в отношении поднадзорных лиц с количеством проведенных выездных проверок поднадзорных лиц за соответствующий календарный год.</w:t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</w:rPr>
        <w:t xml:space="preserve">Показатель рассчитывается по формуле:</w:t>
      </w:r>
      <w:r>
        <w:rPr>
          <w:sz w:val="28"/>
          <w:szCs w:val="28"/>
          <w:highlight w:val="none"/>
        </w:rPr>
        <w:t xml:space="preserve"> Н = Х/У*100%, где Н - расчетное значение показателя, Х - количество </w:t>
      </w:r>
      <w:r>
        <w:rPr>
          <w:sz w:val="28"/>
          <w:szCs w:val="28"/>
          <w:highlight w:val="none"/>
        </w:rPr>
        <w:t xml:space="preserve">поднадзорных лиц, охваченных профилактическими визитами,</w:t>
      </w:r>
      <w:r>
        <w:rPr>
          <w:sz w:val="28"/>
          <w:szCs w:val="28"/>
          <w:highlight w:val="none"/>
        </w:rPr>
        <w:t xml:space="preserve"> У - общее количество проведенных выездных проверок.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highlight w:val="none"/>
        </w:rPr>
      </w:pPr>
      <w:r>
        <w:rPr>
          <w:sz w:val="28"/>
          <w:szCs w:val="28"/>
          <w:highlight w:val="none"/>
        </w:rPr>
        <w:t xml:space="preserve">Значение показателя: более 30% - 5 баллов, 15-30% - 3 балла, 5-14% - 1 балл, менее 5% - 0 баллов.</w:t>
      </w:r>
      <w:r>
        <w:rPr>
          <w:sz w:val="28"/>
          <w:szCs w:val="28"/>
          <w:highlight w:val="none"/>
        </w:rPr>
      </w:r>
      <w:r/>
    </w:p>
    <w:p>
      <w:pPr>
        <w:pStyle w:val="728"/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считается успешно реализованной при значении суммарного показателя эффективности 20-25 баллов.</w:t>
      </w: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624" w:bottom="1134" w:left="187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4"/>
      <w:jc w:val="center"/>
    </w:pPr>
    <w:fldSimple w:instr="PAGE \* MERGEFORMAT">
      <w:r>
        <w:t xml:space="preserve">1</w:t>
      </w:r>
    </w:fldSimple>
    <w:r/>
    <w:r/>
  </w:p>
  <w:p>
    <w:pPr>
      <w:pStyle w:val="5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lang w:val="ru-RU"/>
      </w:rPr>
    </w:pPr>
    <w:r>
      <w:rPr>
        <w:lang w:val="ru-RU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51">
    <w:name w:val="Caption"/>
    <w:basedOn w:val="755"/>
    <w:next w:val="75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52">
    <w:name w:val="Caption Char"/>
    <w:basedOn w:val="551"/>
    <w:link w:val="586"/>
    <w:uiPriority w:val="99"/>
  </w:style>
  <w:style w:type="paragraph" w:styleId="553">
    <w:name w:val="endnote text"/>
    <w:basedOn w:val="755"/>
    <w:link w:val="554"/>
    <w:uiPriority w:val="99"/>
    <w:semiHidden/>
    <w:unhideWhenUsed/>
    <w:rPr>
      <w:sz w:val="20"/>
    </w:rPr>
    <w:pPr>
      <w:spacing w:lineRule="auto" w:line="240" w:after="0"/>
    </w:pPr>
  </w:style>
  <w:style w:type="character" w:styleId="554">
    <w:name w:val="Endnote Text Char"/>
    <w:link w:val="553"/>
    <w:uiPriority w:val="99"/>
    <w:rPr>
      <w:sz w:val="20"/>
    </w:rPr>
  </w:style>
  <w:style w:type="character" w:styleId="555">
    <w:name w:val="endnote reference"/>
    <w:basedOn w:val="753"/>
    <w:uiPriority w:val="99"/>
    <w:semiHidden/>
    <w:unhideWhenUsed/>
    <w:rPr>
      <w:vertAlign w:val="superscript"/>
    </w:rPr>
  </w:style>
  <w:style w:type="paragraph" w:styleId="556">
    <w:name w:val="Heading 1"/>
    <w:link w:val="5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57">
    <w:name w:val="Heading 1 Char"/>
    <w:link w:val="556"/>
    <w:uiPriority w:val="9"/>
    <w:rPr>
      <w:rFonts w:ascii="Arial" w:hAnsi="Arial" w:cs="Arial" w:eastAsia="Arial"/>
      <w:sz w:val="40"/>
      <w:szCs w:val="40"/>
    </w:rPr>
  </w:style>
  <w:style w:type="paragraph" w:styleId="558">
    <w:name w:val="Heading 2"/>
    <w:link w:val="55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59">
    <w:name w:val="Heading 2 Char"/>
    <w:link w:val="558"/>
    <w:uiPriority w:val="9"/>
    <w:rPr>
      <w:rFonts w:ascii="Arial" w:hAnsi="Arial" w:cs="Arial" w:eastAsia="Arial"/>
      <w:sz w:val="34"/>
    </w:rPr>
  </w:style>
  <w:style w:type="paragraph" w:styleId="560">
    <w:name w:val="Heading 3"/>
    <w:link w:val="56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61">
    <w:name w:val="Heading 3 Char"/>
    <w:link w:val="560"/>
    <w:uiPriority w:val="9"/>
    <w:rPr>
      <w:rFonts w:ascii="Arial" w:hAnsi="Arial" w:cs="Arial" w:eastAsia="Arial"/>
      <w:sz w:val="30"/>
      <w:szCs w:val="30"/>
    </w:rPr>
  </w:style>
  <w:style w:type="paragraph" w:styleId="562">
    <w:name w:val="Heading 4"/>
    <w:link w:val="5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63">
    <w:name w:val="Heading 4 Char"/>
    <w:link w:val="562"/>
    <w:uiPriority w:val="9"/>
    <w:rPr>
      <w:rFonts w:ascii="Arial" w:hAnsi="Arial" w:cs="Arial" w:eastAsia="Arial"/>
      <w:b/>
      <w:bCs/>
      <w:sz w:val="26"/>
      <w:szCs w:val="26"/>
    </w:rPr>
  </w:style>
  <w:style w:type="paragraph" w:styleId="564">
    <w:name w:val="Heading 5"/>
    <w:link w:val="5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65">
    <w:name w:val="Heading 5 Char"/>
    <w:link w:val="564"/>
    <w:uiPriority w:val="9"/>
    <w:rPr>
      <w:rFonts w:ascii="Arial" w:hAnsi="Arial" w:cs="Arial" w:eastAsia="Arial"/>
      <w:b/>
      <w:bCs/>
      <w:sz w:val="24"/>
      <w:szCs w:val="24"/>
    </w:rPr>
  </w:style>
  <w:style w:type="paragraph" w:styleId="566">
    <w:name w:val="Heading 6"/>
    <w:link w:val="5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67">
    <w:name w:val="Heading 6 Char"/>
    <w:link w:val="566"/>
    <w:uiPriority w:val="9"/>
    <w:rPr>
      <w:rFonts w:ascii="Arial" w:hAnsi="Arial" w:cs="Arial" w:eastAsia="Arial"/>
      <w:b/>
      <w:bCs/>
      <w:sz w:val="22"/>
      <w:szCs w:val="22"/>
    </w:rPr>
  </w:style>
  <w:style w:type="paragraph" w:styleId="568">
    <w:name w:val="Heading 7"/>
    <w:link w:val="5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69">
    <w:name w:val="Heading 7 Char"/>
    <w:link w:val="5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70">
    <w:name w:val="Heading 8"/>
    <w:link w:val="5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71">
    <w:name w:val="Heading 8 Char"/>
    <w:link w:val="570"/>
    <w:uiPriority w:val="9"/>
    <w:rPr>
      <w:rFonts w:ascii="Arial" w:hAnsi="Arial" w:cs="Arial" w:eastAsia="Arial"/>
      <w:i/>
      <w:iCs/>
      <w:sz w:val="22"/>
      <w:szCs w:val="22"/>
    </w:rPr>
  </w:style>
  <w:style w:type="paragraph" w:styleId="572">
    <w:name w:val="Heading 9"/>
    <w:link w:val="5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73">
    <w:name w:val="Heading 9 Char"/>
    <w:link w:val="572"/>
    <w:uiPriority w:val="9"/>
    <w:rPr>
      <w:rFonts w:ascii="Arial" w:hAnsi="Arial" w:cs="Arial" w:eastAsia="Arial"/>
      <w:i/>
      <w:iCs/>
      <w:sz w:val="21"/>
      <w:szCs w:val="21"/>
    </w:rPr>
  </w:style>
  <w:style w:type="paragraph" w:styleId="574">
    <w:name w:val="List Paragraph"/>
    <w:qFormat/>
    <w:uiPriority w:val="34"/>
    <w:pPr>
      <w:contextualSpacing w:val="true"/>
      <w:ind w:left="720"/>
    </w:pPr>
  </w:style>
  <w:style w:type="paragraph" w:styleId="575">
    <w:name w:val="No Spacing"/>
    <w:qFormat/>
    <w:uiPriority w:val="1"/>
    <w:pPr>
      <w:spacing w:lineRule="auto" w:line="240" w:after="0" w:before="0"/>
    </w:pPr>
  </w:style>
  <w:style w:type="paragraph" w:styleId="576">
    <w:name w:val="Title"/>
    <w:link w:val="57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77">
    <w:name w:val="Title Char"/>
    <w:link w:val="576"/>
    <w:uiPriority w:val="10"/>
    <w:rPr>
      <w:sz w:val="48"/>
      <w:szCs w:val="48"/>
    </w:rPr>
  </w:style>
  <w:style w:type="paragraph" w:styleId="578">
    <w:name w:val="Subtitle"/>
    <w:link w:val="579"/>
    <w:qFormat/>
    <w:uiPriority w:val="11"/>
    <w:rPr>
      <w:sz w:val="24"/>
      <w:szCs w:val="24"/>
    </w:rPr>
    <w:pPr>
      <w:spacing w:after="200" w:before="200"/>
    </w:pPr>
  </w:style>
  <w:style w:type="character" w:styleId="579">
    <w:name w:val="Subtitle Char"/>
    <w:link w:val="578"/>
    <w:uiPriority w:val="11"/>
    <w:rPr>
      <w:sz w:val="24"/>
      <w:szCs w:val="24"/>
    </w:rPr>
  </w:style>
  <w:style w:type="paragraph" w:styleId="580">
    <w:name w:val="Quote"/>
    <w:link w:val="581"/>
    <w:qFormat/>
    <w:uiPriority w:val="29"/>
    <w:rPr>
      <w:i/>
    </w:rPr>
    <w:pPr>
      <w:ind w:left="720" w:right="720"/>
    </w:pPr>
  </w:style>
  <w:style w:type="character" w:styleId="581">
    <w:name w:val="Quote Char"/>
    <w:link w:val="580"/>
    <w:uiPriority w:val="29"/>
    <w:rPr>
      <w:i/>
    </w:rPr>
  </w:style>
  <w:style w:type="paragraph" w:styleId="582">
    <w:name w:val="Intense Quote"/>
    <w:link w:val="583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83">
    <w:name w:val="Intense Quote Char"/>
    <w:link w:val="582"/>
    <w:uiPriority w:val="30"/>
    <w:rPr>
      <w:i/>
    </w:rPr>
  </w:style>
  <w:style w:type="paragraph" w:styleId="584">
    <w:name w:val="Header"/>
    <w:link w:val="58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85">
    <w:name w:val="Header Char"/>
    <w:link w:val="584"/>
    <w:uiPriority w:val="99"/>
  </w:style>
  <w:style w:type="paragraph" w:styleId="586">
    <w:name w:val="Footer"/>
    <w:link w:val="5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87">
    <w:name w:val="Footer Char"/>
    <w:link w:val="586"/>
    <w:uiPriority w:val="99"/>
  </w:style>
  <w:style w:type="table" w:styleId="58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8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9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9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9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9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9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0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0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1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1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1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2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2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2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2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62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62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62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62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62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62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63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3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3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3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3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3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3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3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3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3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4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4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4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4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4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4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4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4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4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5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5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5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5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5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5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5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8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8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8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8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8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8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8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8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8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8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9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9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9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9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9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9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9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9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9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9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0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0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0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0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0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0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0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0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0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0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1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1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1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1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14">
    <w:name w:val="Hyperlink"/>
    <w:uiPriority w:val="99"/>
    <w:unhideWhenUsed/>
    <w:rPr>
      <w:color w:val="0000FF" w:themeColor="hyperlink"/>
      <w:u w:val="single"/>
    </w:rPr>
  </w:style>
  <w:style w:type="paragraph" w:styleId="715">
    <w:name w:val="footnote text"/>
    <w:link w:val="716"/>
    <w:uiPriority w:val="99"/>
    <w:semiHidden/>
    <w:unhideWhenUsed/>
    <w:rPr>
      <w:sz w:val="18"/>
    </w:rPr>
    <w:pPr>
      <w:spacing w:lineRule="auto" w:line="240" w:after="40"/>
    </w:pPr>
  </w:style>
  <w:style w:type="character" w:styleId="716">
    <w:name w:val="Footnote Text Char"/>
    <w:link w:val="715"/>
    <w:uiPriority w:val="99"/>
    <w:rPr>
      <w:sz w:val="18"/>
    </w:rPr>
  </w:style>
  <w:style w:type="character" w:styleId="717">
    <w:name w:val="footnote reference"/>
    <w:uiPriority w:val="99"/>
    <w:unhideWhenUsed/>
    <w:rPr>
      <w:vertAlign w:val="superscript"/>
    </w:rPr>
  </w:style>
  <w:style w:type="paragraph" w:styleId="718">
    <w:name w:val="toc 1"/>
    <w:uiPriority w:val="39"/>
    <w:unhideWhenUsed/>
    <w:pPr>
      <w:ind w:left="0" w:right="0" w:firstLine="0"/>
      <w:spacing w:after="57"/>
    </w:pPr>
  </w:style>
  <w:style w:type="paragraph" w:styleId="719">
    <w:name w:val="toc 2"/>
    <w:uiPriority w:val="39"/>
    <w:unhideWhenUsed/>
    <w:pPr>
      <w:ind w:left="283" w:right="0" w:firstLine="0"/>
      <w:spacing w:after="57"/>
    </w:pPr>
  </w:style>
  <w:style w:type="paragraph" w:styleId="720">
    <w:name w:val="toc 3"/>
    <w:uiPriority w:val="39"/>
    <w:unhideWhenUsed/>
    <w:pPr>
      <w:ind w:left="567" w:right="0" w:firstLine="0"/>
      <w:spacing w:after="57"/>
    </w:pPr>
  </w:style>
  <w:style w:type="paragraph" w:styleId="721">
    <w:name w:val="toc 4"/>
    <w:uiPriority w:val="39"/>
    <w:unhideWhenUsed/>
    <w:pPr>
      <w:ind w:left="850" w:right="0" w:firstLine="0"/>
      <w:spacing w:after="57"/>
    </w:pPr>
  </w:style>
  <w:style w:type="paragraph" w:styleId="722">
    <w:name w:val="toc 5"/>
    <w:uiPriority w:val="39"/>
    <w:unhideWhenUsed/>
    <w:pPr>
      <w:ind w:left="1134" w:right="0" w:firstLine="0"/>
      <w:spacing w:after="57"/>
    </w:pPr>
  </w:style>
  <w:style w:type="paragraph" w:styleId="723">
    <w:name w:val="toc 6"/>
    <w:uiPriority w:val="39"/>
    <w:unhideWhenUsed/>
    <w:pPr>
      <w:ind w:left="1417" w:right="0" w:firstLine="0"/>
      <w:spacing w:after="57"/>
    </w:pPr>
  </w:style>
  <w:style w:type="paragraph" w:styleId="724">
    <w:name w:val="toc 7"/>
    <w:uiPriority w:val="39"/>
    <w:unhideWhenUsed/>
    <w:pPr>
      <w:ind w:left="1701" w:right="0" w:firstLine="0"/>
      <w:spacing w:after="57"/>
    </w:pPr>
  </w:style>
  <w:style w:type="paragraph" w:styleId="725">
    <w:name w:val="toc 8"/>
    <w:uiPriority w:val="39"/>
    <w:unhideWhenUsed/>
    <w:pPr>
      <w:ind w:left="1984" w:right="0" w:firstLine="0"/>
      <w:spacing w:after="57"/>
    </w:pPr>
  </w:style>
  <w:style w:type="paragraph" w:styleId="726">
    <w:name w:val="toc 9"/>
    <w:uiPriority w:val="39"/>
    <w:unhideWhenUsed/>
    <w:pPr>
      <w:ind w:left="2268" w:right="0" w:firstLine="0"/>
      <w:spacing w:after="57"/>
    </w:pPr>
  </w:style>
  <w:style w:type="paragraph" w:styleId="727">
    <w:name w:val="TOC Heading"/>
    <w:uiPriority w:val="39"/>
    <w:unhideWhenUsed/>
  </w:style>
  <w:style w:type="paragraph" w:styleId="728">
    <w:name w:val="Обычный"/>
    <w:next w:val="728"/>
    <w:link w:val="728"/>
    <w:rPr>
      <w:sz w:val="24"/>
      <w:szCs w:val="24"/>
      <w:lang w:val="ru-RU" w:bidi="ar-SA" w:eastAsia="ru-RU"/>
    </w:rPr>
  </w:style>
  <w:style w:type="paragraph" w:styleId="729">
    <w:name w:val="Заголовок 4"/>
    <w:basedOn w:val="728"/>
    <w:next w:val="728"/>
    <w:link w:val="728"/>
    <w:rPr>
      <w:b/>
      <w:spacing w:val="20"/>
      <w:sz w:val="22"/>
    </w:rPr>
    <w:pPr>
      <w:jc w:val="center"/>
      <w:keepNext/>
      <w:outlineLvl w:val="3"/>
    </w:pPr>
  </w:style>
  <w:style w:type="paragraph" w:styleId="730">
    <w:name w:val="Заголовок 5"/>
    <w:basedOn w:val="728"/>
    <w:next w:val="728"/>
    <w:link w:val="728"/>
    <w:rPr>
      <w:b/>
      <w:spacing w:val="60"/>
      <w:sz w:val="36"/>
    </w:rPr>
    <w:pPr>
      <w:jc w:val="center"/>
      <w:keepNext/>
      <w:outlineLvl w:val="4"/>
    </w:pPr>
  </w:style>
  <w:style w:type="paragraph" w:styleId="731">
    <w:name w:val="Заголовок 6"/>
    <w:basedOn w:val="728"/>
    <w:next w:val="728"/>
    <w:link w:val="728"/>
    <w:rPr>
      <w:b/>
      <w:sz w:val="26"/>
    </w:rPr>
    <w:pPr>
      <w:jc w:val="both"/>
      <w:keepNext/>
      <w:outlineLvl w:val="5"/>
    </w:pPr>
  </w:style>
  <w:style w:type="character" w:styleId="732">
    <w:name w:val="Основной шрифт абзаца"/>
    <w:next w:val="732"/>
    <w:link w:val="728"/>
    <w:semiHidden/>
  </w:style>
  <w:style w:type="table" w:styleId="733">
    <w:name w:val="Обычная таблица"/>
    <w:next w:val="733"/>
    <w:link w:val="728"/>
    <w:semiHidden/>
    <w:tblPr/>
  </w:style>
  <w:style w:type="numbering" w:styleId="734">
    <w:name w:val="Нет списка"/>
    <w:next w:val="734"/>
    <w:link w:val="728"/>
    <w:semiHidden/>
  </w:style>
  <w:style w:type="paragraph" w:styleId="735">
    <w:name w:val="Основной текст с отступом"/>
    <w:basedOn w:val="728"/>
    <w:next w:val="735"/>
    <w:link w:val="728"/>
    <w:pPr>
      <w:ind w:firstLine="705"/>
    </w:pPr>
  </w:style>
  <w:style w:type="paragraph" w:styleId="736">
    <w:name w:val="Основной текст с отступом 2"/>
    <w:basedOn w:val="728"/>
    <w:next w:val="736"/>
    <w:link w:val="728"/>
    <w:pPr>
      <w:ind w:firstLine="900"/>
      <w:jc w:val="both"/>
    </w:pPr>
  </w:style>
  <w:style w:type="paragraph" w:styleId="737">
    <w:name w:val="Основной текст"/>
    <w:basedOn w:val="728"/>
    <w:next w:val="737"/>
    <w:link w:val="728"/>
    <w:pPr>
      <w:spacing w:after="120"/>
    </w:pPr>
  </w:style>
  <w:style w:type="paragraph" w:styleId="738">
    <w:name w:val="Основной текст 3"/>
    <w:basedOn w:val="728"/>
    <w:next w:val="738"/>
    <w:link w:val="728"/>
    <w:rPr>
      <w:sz w:val="16"/>
      <w:szCs w:val="16"/>
    </w:rPr>
    <w:pPr>
      <w:spacing w:after="120"/>
    </w:pPr>
  </w:style>
  <w:style w:type="paragraph" w:styleId="739">
    <w:name w:val="ConsPlusNormal"/>
    <w:next w:val="739"/>
    <w:link w:val="728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740">
    <w:name w:val="Верхний колонтитул"/>
    <w:basedOn w:val="728"/>
    <w:next w:val="740"/>
    <w:link w:val="748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741">
    <w:name w:val="Номер страницы"/>
    <w:basedOn w:val="732"/>
    <w:next w:val="741"/>
    <w:link w:val="728"/>
  </w:style>
  <w:style w:type="paragraph" w:styleId="742">
    <w:name w:val="ConsPlusTitle"/>
    <w:next w:val="742"/>
    <w:link w:val="728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743">
    <w:name w:val="Текст выноски"/>
    <w:basedOn w:val="728"/>
    <w:next w:val="743"/>
    <w:link w:val="744"/>
    <w:rPr>
      <w:rFonts w:ascii="Tahoma" w:hAnsi="Tahoma"/>
      <w:sz w:val="16"/>
      <w:szCs w:val="16"/>
      <w:lang w:val="en-US" w:eastAsia="en-US"/>
    </w:rPr>
  </w:style>
  <w:style w:type="character" w:styleId="744">
    <w:name w:val="Текст выноски Знак"/>
    <w:next w:val="744"/>
    <w:link w:val="743"/>
    <w:rPr>
      <w:rFonts w:ascii="Tahoma" w:hAnsi="Tahoma"/>
      <w:sz w:val="16"/>
      <w:szCs w:val="16"/>
    </w:rPr>
  </w:style>
  <w:style w:type="paragraph" w:styleId="745">
    <w:name w:val="Нижний колонтитул"/>
    <w:basedOn w:val="728"/>
    <w:next w:val="745"/>
    <w:link w:val="746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746">
    <w:name w:val="Нижний колонтитул Знак"/>
    <w:next w:val="746"/>
    <w:link w:val="745"/>
    <w:rPr>
      <w:sz w:val="24"/>
      <w:szCs w:val="24"/>
    </w:rPr>
  </w:style>
  <w:style w:type="paragraph" w:styleId="747">
    <w:name w:val="ConsPlusNonformat"/>
    <w:next w:val="747"/>
    <w:link w:val="728"/>
    <w:rPr>
      <w:rFonts w:ascii="Courier New" w:hAnsi="Courier New"/>
      <w:lang w:val="ru-RU" w:bidi="ar-SA" w:eastAsia="ru-RU"/>
    </w:rPr>
    <w:pPr>
      <w:widowControl w:val="off"/>
    </w:pPr>
  </w:style>
  <w:style w:type="character" w:styleId="748">
    <w:name w:val="Верхний колонтитул Знак"/>
    <w:next w:val="748"/>
    <w:link w:val="740"/>
    <w:rPr>
      <w:sz w:val="24"/>
      <w:szCs w:val="24"/>
    </w:rPr>
  </w:style>
  <w:style w:type="character" w:styleId="749">
    <w:name w:val="Гиперссылка"/>
    <w:next w:val="749"/>
    <w:link w:val="728"/>
    <w:rPr>
      <w:color w:val="0000FF"/>
      <w:u w:val="single"/>
    </w:rPr>
  </w:style>
  <w:style w:type="paragraph" w:styleId="750">
    <w:name w:val="Основной текст 2"/>
    <w:basedOn w:val="728"/>
    <w:next w:val="750"/>
    <w:link w:val="751"/>
    <w:rPr>
      <w:lang w:val="en-US" w:eastAsia="en-US"/>
    </w:rPr>
    <w:pPr>
      <w:spacing w:lineRule="auto" w:line="480" w:after="120"/>
    </w:pPr>
  </w:style>
  <w:style w:type="character" w:styleId="751">
    <w:name w:val="Основной текст 2 Знак"/>
    <w:next w:val="751"/>
    <w:link w:val="750"/>
    <w:rPr>
      <w:sz w:val="24"/>
      <w:szCs w:val="24"/>
    </w:rPr>
  </w:style>
  <w:style w:type="paragraph" w:styleId="752">
    <w:name w:val="Название объекта"/>
    <w:basedOn w:val="728"/>
    <w:next w:val="728"/>
    <w:link w:val="728"/>
    <w:pPr>
      <w:jc w:val="both"/>
      <w:spacing w:lineRule="auto" w:line="276" w:before="240"/>
    </w:pPr>
  </w:style>
  <w:style w:type="character" w:styleId="753" w:default="1">
    <w:name w:val="Default Paragraph Font"/>
    <w:uiPriority w:val="1"/>
    <w:semiHidden/>
    <w:unhideWhenUsed/>
  </w:style>
  <w:style w:type="numbering" w:styleId="754" w:default="1">
    <w:name w:val="No List"/>
    <w:uiPriority w:val="99"/>
    <w:semiHidden/>
    <w:unhideWhenUsed/>
  </w:style>
  <w:style w:type="paragraph" w:styleId="755" w:default="1">
    <w:name w:val="Normal"/>
    <w:qFormat/>
  </w:style>
  <w:style w:type="table" w:styleId="756" w:default="1">
    <w:name w:val="Normal Table"/>
    <w:uiPriority w:val="99"/>
    <w:semiHidden/>
    <w:unhideWhenUsed/>
    <w:tblPr/>
  </w:style>
  <w:style w:type="paragraph" w:styleId="757">
    <w:name w:val="       ConsPlusNormal"/>
    <w:rPr>
      <w:rFonts w:ascii="Arial" w:hAnsi="Arial" w:cs="Arial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modified xsi:type="dcterms:W3CDTF">2021-09-13T12:34:45Z</dcterms:modified>
</cp:coreProperties>
</file>