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lang w:eastAsia="ar-SA"/>
        </w:rPr>
      </w:pPr>
      <w:r>
        <w:rPr>
          <w:b/>
          <w:sz w:val="28"/>
          <w:szCs w:val="27"/>
          <w:lang w:eastAsia="ar-SA"/>
        </w:rPr>
        <w:t xml:space="preserve">О результатах плановой проверки в отношении </w:t>
      </w:r>
      <w:r>
        <w:rPr>
          <w:b/>
          <w:sz w:val="28"/>
        </w:rPr>
        <w:t xml:space="preserve">Администрации Панинского городского поселения Панинского муниципального района Воронежской области</w:t>
      </w:r>
      <w:r>
        <w:rPr>
          <w:sz w:val="28"/>
        </w:rPr>
      </w:r>
      <w:r>
        <w:rPr>
          <w:sz w:val="22"/>
        </w:rPr>
      </w:r>
    </w:p>
    <w:p>
      <w:pPr>
        <w:jc w:val="center"/>
        <w:rPr>
          <w:b/>
          <w:sz w:val="28"/>
          <w:szCs w:val="27"/>
          <w:lang w:eastAsia="ar-SA"/>
        </w:rPr>
      </w:pPr>
      <w:r>
        <w:rPr>
          <w:b/>
          <w:sz w:val="28"/>
          <w:szCs w:val="27"/>
          <w:lang w:eastAsia="ar-SA"/>
        </w:rPr>
      </w:r>
      <w:r>
        <w:rPr>
          <w:sz w:val="22"/>
        </w:rPr>
      </w:r>
    </w:p>
    <w:p>
      <w:pPr>
        <w:ind w:firstLine="709"/>
        <w:jc w:val="both"/>
        <w:shd w:val="clear" w:color="auto" w:fill="FFFFFF"/>
        <w:tabs>
          <w:tab w:val="right" w:pos="10205" w:leader="none"/>
        </w:tabs>
        <w:rPr>
          <w:sz w:val="28"/>
          <w:szCs w:val="27"/>
        </w:rPr>
      </w:pPr>
      <w:r>
        <w:rPr>
          <w:sz w:val="28"/>
          <w:szCs w:val="27"/>
        </w:rPr>
        <w:t xml:space="preserve">Во исполнение плана проведения плановых проверок, в соответствии с требованиями пункта 2.3 статьи 77 Федерального закона от 06.10.2003 № 131-ФЗ «Об общих принципах организации местного самоуправления в российской Федерации» и статьи 9 Федерального закона о</w:t>
      </w:r>
      <w:r>
        <w:rPr>
          <w:sz w:val="28"/>
          <w:szCs w:val="27"/>
        </w:rPr>
        <w:t xml:space="preserve">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юридических лиц и индивидуальных предпринимателей на 2021 г. и в соответствии с приказом</w:t>
      </w:r>
      <w:r>
        <w:rPr>
          <w:sz w:val="28"/>
          <w:szCs w:val="27"/>
        </w:rPr>
        <w:t xml:space="preserve"> заместителя руководителя государственной жилищной инспекции Воронежской области - </w:t>
      </w:r>
      <w:r>
        <w:rPr>
          <w:sz w:val="28"/>
          <w:szCs w:val="27"/>
        </w:rPr>
        <w:t xml:space="preserve">начальника отдела надзора за содержанием многоквартирных домов</w:t>
      </w:r>
      <w:r>
        <w:rPr>
          <w:sz w:val="28"/>
          <w:szCs w:val="27"/>
        </w:rPr>
        <w:t xml:space="preserve"> от 02.04.2021 № 03-пл, в апреле 2021 года проведена плановая документарная проверка </w:t>
      </w:r>
      <w:r>
        <w:rPr>
          <w:sz w:val="28"/>
          <w:szCs w:val="27"/>
        </w:rPr>
        <w:t xml:space="preserve">Администрации Панинского городского поселения Панинского муниципального района Воронежской области</w:t>
      </w:r>
      <w:r>
        <w:rPr>
          <w:sz w:val="28"/>
          <w:szCs w:val="27"/>
        </w:rPr>
        <w:t xml:space="preserve">, задачами которой являлись: рассмотрение документов и информации на предмет соблюдения органом местного самоуправления обязательных требований к:</w:t>
      </w:r>
      <w:r>
        <w:rPr>
          <w:sz w:val="22"/>
        </w:rPr>
      </w:r>
    </w:p>
    <w:p>
      <w:pPr>
        <w:ind w:firstLine="709"/>
        <w:jc w:val="both"/>
        <w:shd w:val="clear" w:color="auto" w:fill="FFFFFF"/>
        <w:tabs>
          <w:tab w:val="right" w:pos="10205" w:leader="none"/>
        </w:tabs>
        <w:rPr>
          <w:sz w:val="22"/>
        </w:rPr>
      </w:pPr>
      <w:r>
        <w:rPr>
          <w:sz w:val="28"/>
          <w:szCs w:val="27"/>
        </w:rPr>
        <w:t xml:space="preserve">порядку и срокам раскрытия информации в государс</w:t>
      </w:r>
      <w:r>
        <w:rPr>
          <w:sz w:val="28"/>
          <w:szCs w:val="27"/>
        </w:rPr>
        <w:t xml:space="preserve">твенной информационной системе жилищно-коммунального хозяйства;</w:t>
      </w:r>
      <w:r>
        <w:rPr>
          <w:sz w:val="22"/>
        </w:rPr>
      </w:r>
    </w:p>
    <w:p>
      <w:pPr>
        <w:ind w:firstLine="709"/>
        <w:jc w:val="both"/>
        <w:shd w:val="clear" w:color="auto" w:fill="FFFFFF"/>
        <w:tabs>
          <w:tab w:val="right" w:pos="10205" w:leader="none"/>
        </w:tabs>
        <w:rPr>
          <w:sz w:val="22"/>
        </w:rPr>
      </w:pPr>
      <w:r>
        <w:rPr>
          <w:sz w:val="28"/>
          <w:szCs w:val="27"/>
        </w:rPr>
        <w:t xml:space="preserve">управлению многоквартирными домами;</w:t>
      </w:r>
      <w:r>
        <w:rPr>
          <w:sz w:val="22"/>
        </w:rPr>
      </w:r>
    </w:p>
    <w:p>
      <w:pPr>
        <w:ind w:firstLine="709"/>
        <w:jc w:val="both"/>
        <w:shd w:val="clear" w:color="auto" w:fill="FFFFFF"/>
        <w:tabs>
          <w:tab w:val="right" w:pos="10205" w:leader="none"/>
        </w:tabs>
        <w:rPr>
          <w:sz w:val="22"/>
        </w:rPr>
      </w:pPr>
      <w:r>
        <w:rPr>
          <w:sz w:val="28"/>
          <w:szCs w:val="27"/>
        </w:rPr>
        <w:t xml:space="preserve">установлению размера платы за содержание жилого помещения;</w:t>
      </w:r>
      <w:r>
        <w:rPr>
          <w:sz w:val="22"/>
        </w:rPr>
      </w:r>
    </w:p>
    <w:p>
      <w:pPr>
        <w:ind w:firstLine="709"/>
        <w:jc w:val="both"/>
        <w:shd w:val="clear" w:color="auto" w:fill="FFFFFF"/>
        <w:tabs>
          <w:tab w:val="right" w:pos="10205" w:leader="none"/>
        </w:tabs>
        <w:rPr>
          <w:sz w:val="22"/>
        </w:rPr>
      </w:pPr>
      <w:r>
        <w:rPr>
          <w:sz w:val="28"/>
          <w:szCs w:val="27"/>
        </w:rPr>
        <w:t xml:space="preserve">формированию фондов капитального ремонта;</w:t>
      </w:r>
      <w:r>
        <w:rPr>
          <w:sz w:val="22"/>
        </w:rPr>
      </w:r>
    </w:p>
    <w:p>
      <w:pPr>
        <w:ind w:firstLine="709"/>
        <w:jc w:val="both"/>
        <w:shd w:val="clear" w:color="auto" w:fill="FFFFFF"/>
        <w:tabs>
          <w:tab w:val="right" w:pos="10205" w:leader="none"/>
        </w:tabs>
        <w:rPr>
          <w:sz w:val="22"/>
        </w:rPr>
      </w:pPr>
      <w:r>
        <w:rPr>
          <w:sz w:val="28"/>
          <w:szCs w:val="27"/>
        </w:rPr>
        <w:t xml:space="preserve">проверка соблюдения обязательных требований по отбору у</w:t>
      </w:r>
      <w:r>
        <w:rPr>
          <w:sz w:val="28"/>
          <w:szCs w:val="27"/>
        </w:rPr>
        <w:t xml:space="preserve">правляющей организации органом местного самоуправления в случаях, предусмотренных для проведения открытого конкурса по отбору управляющей организации;</w:t>
      </w:r>
      <w:r>
        <w:rPr>
          <w:sz w:val="22"/>
        </w:rPr>
      </w:r>
    </w:p>
    <w:p>
      <w:pPr>
        <w:ind w:firstLine="709"/>
        <w:jc w:val="both"/>
        <w:shd w:val="clear" w:color="auto" w:fill="FFFFFF"/>
        <w:tabs>
          <w:tab w:val="right" w:pos="10205" w:leader="none"/>
        </w:tabs>
        <w:rPr>
          <w:sz w:val="22"/>
        </w:rPr>
      </w:pPr>
      <w:r>
        <w:rPr>
          <w:sz w:val="28"/>
          <w:szCs w:val="27"/>
        </w:rPr>
        <w:t xml:space="preserve">выявление и пресечение нарушений юридическими лицами требований к помещениям в многоквартирных домах, их </w:t>
      </w:r>
      <w:r>
        <w:rPr>
          <w:sz w:val="28"/>
          <w:szCs w:val="27"/>
        </w:rPr>
        <w:t xml:space="preserve">использованию и содержанию;</w:t>
      </w:r>
      <w:r>
        <w:rPr>
          <w:sz w:val="22"/>
        </w:rPr>
      </w:r>
    </w:p>
    <w:p>
      <w:pPr>
        <w:ind w:firstLine="709"/>
        <w:jc w:val="both"/>
        <w:shd w:val="clear" w:color="auto" w:fill="FFFFFF"/>
        <w:tabs>
          <w:tab w:val="right" w:pos="10205" w:leader="none"/>
        </w:tabs>
        <w:rPr>
          <w:sz w:val="22"/>
        </w:rPr>
      </w:pPr>
      <w:r>
        <w:rPr>
          <w:sz w:val="28"/>
          <w:szCs w:val="27"/>
        </w:rPr>
        <w:t xml:space="preserve">выявление и пресечение нарушений юридическими лицами порядка осуществления перевода жилого помещения в нежилое;</w:t>
      </w:r>
      <w:r>
        <w:rPr>
          <w:sz w:val="22"/>
        </w:rPr>
      </w:r>
    </w:p>
    <w:p>
      <w:pPr>
        <w:ind w:firstLine="709"/>
        <w:jc w:val="both"/>
        <w:shd w:val="clear" w:color="auto" w:fill="FFFFFF"/>
        <w:tabs>
          <w:tab w:val="right" w:pos="10205" w:leader="none"/>
        </w:tabs>
        <w:rPr>
          <w:sz w:val="22"/>
        </w:rPr>
      </w:pPr>
      <w:r>
        <w:rPr>
          <w:sz w:val="28"/>
          <w:szCs w:val="27"/>
        </w:rPr>
        <w:t xml:space="preserve">выявление и пресечение нарушений юридическими лицами порядка осуществления перепланировки и (или) переустройства пом</w:t>
      </w:r>
      <w:r>
        <w:rPr>
          <w:sz w:val="28"/>
          <w:szCs w:val="27"/>
        </w:rPr>
        <w:t xml:space="preserve">ещений в многоквартирном доме;</w:t>
      </w:r>
      <w:r>
        <w:rPr>
          <w:sz w:val="22"/>
        </w:rPr>
      </w:r>
    </w:p>
    <w:p>
      <w:pPr>
        <w:ind w:firstLine="709"/>
        <w:jc w:val="both"/>
        <w:shd w:val="clear" w:color="auto" w:fill="FFFFFF"/>
        <w:tabs>
          <w:tab w:val="right" w:pos="10205" w:leader="none"/>
        </w:tabs>
        <w:rPr>
          <w:sz w:val="22"/>
        </w:rPr>
      </w:pPr>
      <w:r>
        <w:rPr>
          <w:sz w:val="28"/>
          <w:szCs w:val="27"/>
        </w:rPr>
        <w:t xml:space="preserve">выявление и пресечение нарушений физическими лицами порядка осуществления перепланировки и (или) переустройства помещений в многоквартирном доме;</w:t>
      </w:r>
      <w:r>
        <w:rPr>
          <w:sz w:val="22"/>
        </w:rPr>
      </w:r>
    </w:p>
    <w:p>
      <w:pPr>
        <w:ind w:firstLine="709"/>
        <w:jc w:val="both"/>
        <w:shd w:val="clear" w:color="auto" w:fill="FFFFFF"/>
        <w:tabs>
          <w:tab w:val="right" w:pos="10205" w:leader="none"/>
        </w:tabs>
        <w:rPr>
          <w:sz w:val="22"/>
        </w:rPr>
      </w:pPr>
      <w:r>
        <w:rPr>
          <w:sz w:val="28"/>
          <w:szCs w:val="27"/>
        </w:rPr>
        <w:t xml:space="preserve">выявление и пресечение нарушений физическими лицами порядка осуществления перев</w:t>
      </w:r>
      <w:r>
        <w:rPr>
          <w:sz w:val="28"/>
          <w:szCs w:val="27"/>
        </w:rPr>
        <w:t xml:space="preserve">ода жилого помещения в нежилое;</w:t>
      </w:r>
      <w:r>
        <w:rPr>
          <w:sz w:val="22"/>
        </w:rPr>
      </w:r>
    </w:p>
    <w:p>
      <w:pPr>
        <w:ind w:firstLine="709"/>
        <w:jc w:val="both"/>
        <w:shd w:val="clear" w:color="auto" w:fill="FFFFFF"/>
        <w:tabs>
          <w:tab w:val="right" w:pos="10205" w:leader="none"/>
        </w:tabs>
        <w:rPr>
          <w:sz w:val="22"/>
        </w:rPr>
      </w:pPr>
      <w:r>
        <w:rPr>
          <w:sz w:val="28"/>
          <w:szCs w:val="27"/>
        </w:rPr>
        <w:t xml:space="preserve">требования к использованию и сохранности жилищного фонда;</w:t>
      </w:r>
      <w:r>
        <w:rPr>
          <w:sz w:val="22"/>
        </w:rPr>
      </w:r>
    </w:p>
    <w:p>
      <w:pPr>
        <w:ind w:firstLine="709"/>
        <w:jc w:val="both"/>
        <w:shd w:val="clear" w:color="auto" w:fill="FFFFFF"/>
        <w:tabs>
          <w:tab w:val="right" w:pos="10205" w:leader="none"/>
        </w:tabs>
        <w:rPr>
          <w:sz w:val="22"/>
        </w:rPr>
      </w:pPr>
      <w:r>
        <w:rPr>
          <w:sz w:val="28"/>
          <w:szCs w:val="27"/>
        </w:rPr>
        <w:t xml:space="preserve">проверка соблюдения требований по надлежащему содержанию и ремонту общего имущества в многоквартирном доме;</w:t>
      </w:r>
      <w:r>
        <w:rPr>
          <w:sz w:val="22"/>
        </w:rPr>
      </w:r>
    </w:p>
    <w:p>
      <w:pPr>
        <w:ind w:firstLine="709"/>
        <w:jc w:val="both"/>
        <w:shd w:val="clear" w:color="auto" w:fill="FFFFFF"/>
        <w:tabs>
          <w:tab w:val="right" w:pos="10205" w:leader="none"/>
        </w:tabs>
        <w:rPr>
          <w:sz w:val="22"/>
        </w:rPr>
      </w:pPr>
      <w:r>
        <w:rPr>
          <w:sz w:val="28"/>
          <w:szCs w:val="27"/>
        </w:rPr>
        <w:t xml:space="preserve">выявление и пресечение нарушений физическими лицами требов</w:t>
      </w:r>
      <w:r>
        <w:rPr>
          <w:sz w:val="28"/>
          <w:szCs w:val="27"/>
        </w:rPr>
        <w:t xml:space="preserve">аний к помещениям в многоквартирных домах, их пользованию и содержанию.. </w:t>
      </w:r>
      <w:r>
        <w:rPr>
          <w:sz w:val="22"/>
        </w:rPr>
      </w:r>
    </w:p>
    <w:p>
      <w:pPr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</w:r>
      <w:r>
        <w:rPr>
          <w:sz w:val="28"/>
          <w:szCs w:val="27"/>
        </w:rPr>
        <w:t xml:space="preserve">В отношении Администрации Панинского городского поселения Панинского муниципального района Воронежской области,  с 05.04.2021 г. по 30.04.2021 проведена плановая проверка, назначенная приказом руководителя жилищной инспекции от 02.04.2021 № 03-пл.</w:t>
      </w:r>
      <w:r>
        <w:rPr>
          <w:sz w:val="28"/>
          <w:szCs w:val="27"/>
        </w:rPr>
      </w:r>
      <w:r>
        <w:rPr>
          <w:sz w:val="22"/>
        </w:rPr>
      </w:r>
    </w:p>
    <w:p>
      <w:pPr>
        <w:ind w:firstLine="709"/>
        <w:jc w:val="both"/>
        <w:rPr>
          <w:sz w:val="22"/>
        </w:rPr>
      </w:pPr>
      <w:r>
        <w:rPr>
          <w:sz w:val="28"/>
          <w:szCs w:val="27"/>
        </w:rPr>
        <w:t xml:space="preserve">В ходе проведения проверки, изучением имеющихся в государственной жилищной инспекции Воронежской области и представленных Администрации Панинского городского поселения Панинского муниципального района Воронежской области документов, установлено следующее.</w:t>
      </w:r>
      <w:r>
        <w:rPr>
          <w:sz w:val="28"/>
          <w:szCs w:val="27"/>
        </w:rPr>
      </w:r>
      <w:r>
        <w:rPr>
          <w:sz w:val="22"/>
        </w:rPr>
      </w:r>
    </w:p>
    <w:p>
      <w:pPr>
        <w:ind w:firstLine="709"/>
        <w:jc w:val="both"/>
        <w:rPr>
          <w:sz w:val="22"/>
        </w:rPr>
      </w:pPr>
      <w:r>
        <w:rPr>
          <w:sz w:val="28"/>
          <w:szCs w:val="27"/>
        </w:rPr>
        <w:t xml:space="preserve">С</w:t>
      </w:r>
      <w:r>
        <w:rPr>
          <w:sz w:val="28"/>
          <w:szCs w:val="27"/>
        </w:rPr>
        <w:t xml:space="preserve">огласно ежегодного плана проведения проверок и в соответствии с приказом инспекции от 02.04.2021  №03 пл в отношении администрации Панинского городского поселения Панинского муниципального района Воронежской области проведена плановая документарная проверк</w:t>
      </w:r>
      <w:r>
        <w:rPr>
          <w:sz w:val="28"/>
          <w:szCs w:val="27"/>
        </w:rPr>
        <w:t xml:space="preserve">а. В ходе проведения проверки, изучением имеющихся в инспекции и представленных администрацией документов, установлено.</w:t>
      </w:r>
      <w:r>
        <w:rPr>
          <w:sz w:val="28"/>
          <w:szCs w:val="27"/>
        </w:rPr>
      </w:r>
      <w:r>
        <w:rPr>
          <w:sz w:val="22"/>
        </w:rPr>
      </w:r>
    </w:p>
    <w:p>
      <w:pPr>
        <w:ind w:firstLine="709"/>
        <w:jc w:val="both"/>
        <w:rPr>
          <w:sz w:val="22"/>
        </w:rPr>
      </w:pPr>
      <w:r>
        <w:rPr>
          <w:sz w:val="28"/>
          <w:szCs w:val="27"/>
        </w:rPr>
        <w:t xml:space="preserve">В</w:t>
      </w:r>
      <w:r>
        <w:rPr>
          <w:sz w:val="28"/>
          <w:szCs w:val="27"/>
        </w:rPr>
        <w:t xml:space="preserve"> региональную программу капитального ремонта, утверждённую Постановлением правительства Воронежской области от 06.03.2014 № 183 включены 38 многоквартирных дома, расположенных на территории Панинского городского поселения Панинского муниципального района В</w:t>
      </w:r>
      <w:r>
        <w:rPr>
          <w:sz w:val="28"/>
          <w:szCs w:val="27"/>
        </w:rPr>
        <w:t xml:space="preserve">оронежской области.</w:t>
      </w:r>
      <w:r>
        <w:rPr>
          <w:sz w:val="28"/>
          <w:szCs w:val="27"/>
        </w:rPr>
      </w:r>
      <w:r>
        <w:rPr>
          <w:sz w:val="22"/>
        </w:rPr>
      </w:r>
    </w:p>
    <w:p>
      <w:pPr>
        <w:ind w:firstLine="709"/>
        <w:jc w:val="both"/>
        <w:rPr>
          <w:sz w:val="22"/>
        </w:rPr>
      </w:pPr>
      <w:r>
        <w:rPr>
          <w:sz w:val="28"/>
          <w:szCs w:val="27"/>
        </w:rPr>
        <w:t xml:space="preserve">В</w:t>
      </w:r>
      <w:r>
        <w:rPr>
          <w:sz w:val="28"/>
          <w:szCs w:val="27"/>
        </w:rPr>
        <w:t xml:space="preserve"> соответствии с постановлением администрации Панинского городского поселения Панинского муниципального района Воронежской области от 22.09.2014 № 164 «О формировании фонда капитального ремонта многоквартирных домов на счете регионального оператора» многокв</w:t>
      </w:r>
      <w:r>
        <w:rPr>
          <w:sz w:val="28"/>
          <w:szCs w:val="27"/>
        </w:rPr>
        <w:t xml:space="preserve">артирные дома расположенные на территории Панинского муниципального района, формируют фонд капитального ремонта на счете регионального оператора. </w:t>
      </w:r>
      <w:r>
        <w:rPr>
          <w:sz w:val="28"/>
          <w:szCs w:val="27"/>
        </w:rPr>
      </w:r>
      <w:r>
        <w:rPr>
          <w:sz w:val="22"/>
        </w:rPr>
      </w:r>
    </w:p>
    <w:p>
      <w:pPr>
        <w:ind w:firstLine="709"/>
        <w:jc w:val="both"/>
        <w:rPr>
          <w:sz w:val="22"/>
        </w:rPr>
      </w:pPr>
      <w:r>
        <w:rPr>
          <w:sz w:val="28"/>
          <w:szCs w:val="27"/>
        </w:rPr>
        <w:t xml:space="preserve">Многоквартирные дома  формирующие фонд капитального ремонта на специальном счете, на территории Панинского муниципального района отсутствуют.</w:t>
      </w:r>
      <w:r>
        <w:rPr>
          <w:sz w:val="28"/>
          <w:szCs w:val="27"/>
        </w:rPr>
      </w:r>
      <w:r>
        <w:rPr>
          <w:sz w:val="22"/>
        </w:rPr>
      </w:r>
    </w:p>
    <w:p>
      <w:pPr>
        <w:ind w:firstLine="709"/>
        <w:jc w:val="both"/>
        <w:rPr>
          <w:sz w:val="22"/>
        </w:rPr>
      </w:pPr>
      <w:r>
        <w:rPr>
          <w:sz w:val="28"/>
          <w:szCs w:val="27"/>
        </w:rPr>
        <w:t xml:space="preserve">На момент проведения проверки в отношении всех многоквартирных домов, включенных в программу, реализован один из возможных способов формирования фонда капитального ремонта. </w:t>
      </w:r>
      <w:r>
        <w:rPr>
          <w:sz w:val="28"/>
          <w:szCs w:val="27"/>
        </w:rPr>
      </w:r>
      <w:r>
        <w:rPr>
          <w:sz w:val="22"/>
        </w:rPr>
      </w:r>
    </w:p>
    <w:p>
      <w:pPr>
        <w:ind w:firstLine="709"/>
        <w:jc w:val="both"/>
        <w:rPr>
          <w:sz w:val="22"/>
        </w:rPr>
      </w:pPr>
      <w:r>
        <w:rPr>
          <w:sz w:val="28"/>
          <w:szCs w:val="27"/>
        </w:rPr>
        <w:t xml:space="preserve">Т</w:t>
      </w:r>
      <w:r>
        <w:rPr>
          <w:sz w:val="28"/>
          <w:szCs w:val="27"/>
        </w:rPr>
        <w:t xml:space="preserve">акже администрацией Панинского городского поселения Панинского муниципального района Воронежской области в соответствии с п. 9.3 ч. 1 ст. 14 Жилищного кодекса РФ принято Постановление от 09.04.2021 № 26 ОД «Об утверждении Порядка и перечня случаев оказания</w:t>
      </w:r>
      <w:r>
        <w:rPr>
          <w:sz w:val="28"/>
          <w:szCs w:val="27"/>
        </w:rPr>
        <w:t xml:space="preserve"> </w:t>
      </w:r>
      <w:r>
        <w:rPr>
          <w:sz w:val="28"/>
          <w:szCs w:val="27"/>
        </w:rPr>
        <w:t xml:space="preserve">на возвратной и (или)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 Панинского </w:t>
      </w:r>
      <w:r>
        <w:rPr>
          <w:sz w:val="28"/>
          <w:szCs w:val="27"/>
        </w:rPr>
        <w:t xml:space="preserve">городского поселения Панинского муниципального района Воронежской области».</w:t>
      </w:r>
      <w:r>
        <w:rPr>
          <w:sz w:val="28"/>
          <w:szCs w:val="27"/>
        </w:rPr>
      </w:r>
      <w:r>
        <w:rPr>
          <w:sz w:val="22"/>
        </w:rPr>
      </w:r>
    </w:p>
    <w:p>
      <w:pPr>
        <w:ind w:firstLine="709"/>
        <w:jc w:val="both"/>
        <w:rPr>
          <w:sz w:val="22"/>
        </w:rPr>
      </w:pPr>
      <w:r>
        <w:rPr>
          <w:sz w:val="28"/>
          <w:szCs w:val="27"/>
        </w:rPr>
        <w:t xml:space="preserve">В ходе проведения проверки, изучением имеющихся в жилищной инспекции и представленных администрацией Панинского городского поселения Панинского муниципального района Воронежской области  документов, установлено следующее.</w:t>
      </w:r>
      <w:r>
        <w:rPr>
          <w:sz w:val="28"/>
          <w:szCs w:val="27"/>
        </w:rPr>
      </w:r>
      <w:r>
        <w:rPr>
          <w:sz w:val="22"/>
        </w:rPr>
      </w:r>
    </w:p>
    <w:p>
      <w:pPr>
        <w:ind w:firstLine="709"/>
        <w:jc w:val="both"/>
        <w:rPr>
          <w:sz w:val="22"/>
        </w:rPr>
      </w:pPr>
      <w:r>
        <w:rPr>
          <w:sz w:val="28"/>
          <w:szCs w:val="27"/>
        </w:rPr>
        <w:t xml:space="preserve">I. В части соблюдения требований законодательства о проведении органом местного самоуправления конкурса по отбору управляющей организации для управления многоквартирными домами (часть 4 статьи 161 Жилищного кодекса Российской Федерации.</w:t>
      </w:r>
      <w:r>
        <w:rPr>
          <w:sz w:val="28"/>
          <w:szCs w:val="27"/>
        </w:rPr>
      </w:r>
      <w:r>
        <w:rPr>
          <w:sz w:val="22"/>
        </w:rPr>
      </w:r>
    </w:p>
    <w:p>
      <w:pPr>
        <w:ind w:firstLine="709"/>
        <w:jc w:val="both"/>
        <w:rPr>
          <w:sz w:val="22"/>
        </w:rPr>
      </w:pPr>
      <w:r>
        <w:rPr>
          <w:sz w:val="28"/>
          <w:szCs w:val="27"/>
        </w:rPr>
        <w:t xml:space="preserve">Частью 4 статьи 161 Жилищного кодекса Российской Федерации установлена обязанность органов местного самоуправления по проведению конкурса по отбору управляющей организации для управления многоквартирными домами.</w:t>
      </w:r>
      <w:r>
        <w:rPr>
          <w:sz w:val="28"/>
          <w:szCs w:val="27"/>
        </w:rPr>
      </w:r>
      <w:r>
        <w:rPr>
          <w:sz w:val="22"/>
        </w:rPr>
      </w:r>
    </w:p>
    <w:p>
      <w:pPr>
        <w:ind w:firstLine="709"/>
        <w:jc w:val="both"/>
        <w:rPr>
          <w:sz w:val="22"/>
        </w:rPr>
      </w:pPr>
      <w:r>
        <w:rPr>
          <w:sz w:val="28"/>
          <w:szCs w:val="27"/>
        </w:rPr>
        <w:t xml:space="preserve">П</w:t>
      </w:r>
      <w:r>
        <w:rPr>
          <w:sz w:val="28"/>
          <w:szCs w:val="27"/>
        </w:rPr>
        <w:t xml:space="preserve">орядок проведения открытого конкурса установлен Правилами проведения органом местного самоуправления открытого конкурса по отбору управляющей организации для управления многоквартирным домом (Правила утверждены постановлением Правительства Российской Федер</w:t>
      </w:r>
      <w:r>
        <w:rPr>
          <w:sz w:val="28"/>
          <w:szCs w:val="27"/>
        </w:rPr>
        <w:t xml:space="preserve">ации от 6.02.2006 № 75, далее -Правила).</w:t>
      </w:r>
      <w:r>
        <w:rPr>
          <w:sz w:val="28"/>
          <w:szCs w:val="27"/>
        </w:rPr>
      </w:r>
      <w:r>
        <w:rPr>
          <w:sz w:val="22"/>
        </w:rPr>
      </w:r>
    </w:p>
    <w:p>
      <w:pPr>
        <w:ind w:firstLine="709"/>
        <w:jc w:val="both"/>
        <w:rPr>
          <w:sz w:val="22"/>
        </w:rPr>
      </w:pPr>
      <w:r>
        <w:rPr>
          <w:sz w:val="28"/>
          <w:szCs w:val="27"/>
        </w:rPr>
        <w:t xml:space="preserve">Согласно пункту 3 Правил, конкурс проводится, если:</w:t>
      </w:r>
      <w:r>
        <w:rPr>
          <w:sz w:val="28"/>
          <w:szCs w:val="27"/>
        </w:rPr>
      </w:r>
      <w:r>
        <w:rPr>
          <w:sz w:val="22"/>
        </w:rPr>
      </w:r>
    </w:p>
    <w:p>
      <w:pPr>
        <w:ind w:firstLine="709"/>
        <w:jc w:val="both"/>
        <w:rPr>
          <w:sz w:val="22"/>
        </w:rPr>
      </w:pPr>
      <w:r>
        <w:rPr>
          <w:sz w:val="28"/>
          <w:szCs w:val="27"/>
        </w:rPr>
        <w:t xml:space="preserve">1) собственниками помещений в многоквартирном доме не выбран способ управления этим домом, в том числе в следующих случаях:</w:t>
      </w:r>
      <w:r>
        <w:rPr>
          <w:sz w:val="28"/>
          <w:szCs w:val="27"/>
        </w:rPr>
      </w:r>
      <w:r>
        <w:rPr>
          <w:sz w:val="22"/>
        </w:rPr>
      </w:r>
    </w:p>
    <w:p>
      <w:pPr>
        <w:ind w:firstLine="709"/>
        <w:jc w:val="both"/>
        <w:rPr>
          <w:sz w:val="22"/>
        </w:rPr>
      </w:pPr>
      <w:r>
        <w:rPr>
          <w:sz w:val="28"/>
          <w:szCs w:val="27"/>
        </w:rPr>
        <w:t xml:space="preserve">- собственниками помещений в многоквартирном доме общее собрание по вопросу выбора способа управления многоквартирным домом не проводилось или решение о выборе способа управления многоквартирным домом не было принято;</w:t>
      </w:r>
      <w:r>
        <w:rPr>
          <w:sz w:val="28"/>
          <w:szCs w:val="27"/>
        </w:rPr>
      </w:r>
      <w:r>
        <w:rPr>
          <w:sz w:val="22"/>
        </w:rPr>
      </w:r>
    </w:p>
    <w:p>
      <w:pPr>
        <w:ind w:firstLine="709"/>
        <w:jc w:val="both"/>
        <w:rPr>
          <w:sz w:val="22"/>
        </w:rPr>
      </w:pPr>
      <w:r>
        <w:rPr>
          <w:sz w:val="28"/>
          <w:szCs w:val="27"/>
        </w:rPr>
        <w:t xml:space="preserve">-</w:t>
      </w:r>
      <w:r>
        <w:rPr>
          <w:sz w:val="28"/>
          <w:szCs w:val="27"/>
        </w:rPr>
        <w:t xml:space="preserve"> по истечении 2 месяцев после вступления в законную силу решения суда о признании несостоявшимся общего собрания собственников помещений в многоквартирном доме по вопросу выбора способа управления многоквартирным домом повторное общее собрание не проводило</w:t>
      </w:r>
      <w:r>
        <w:rPr>
          <w:sz w:val="28"/>
          <w:szCs w:val="27"/>
        </w:rPr>
        <w:t xml:space="preserve">сь или решение о выборе способа управления многоквартирным домом не было принято;</w:t>
      </w:r>
      <w:r>
        <w:rPr>
          <w:sz w:val="28"/>
          <w:szCs w:val="27"/>
        </w:rPr>
      </w:r>
      <w:r>
        <w:rPr>
          <w:sz w:val="22"/>
        </w:rPr>
      </w:r>
    </w:p>
    <w:p>
      <w:pPr>
        <w:ind w:firstLine="709"/>
        <w:jc w:val="both"/>
        <w:rPr>
          <w:sz w:val="22"/>
        </w:rPr>
      </w:pPr>
      <w:r>
        <w:rPr>
          <w:sz w:val="28"/>
          <w:szCs w:val="27"/>
        </w:rPr>
        <w:t xml:space="preserve">2) принятое собственниками помещений в многоквартирном доме решение о выборе способа управления домом не реализовано, в том числе в следующих случаях:</w:t>
      </w:r>
      <w:r>
        <w:rPr>
          <w:sz w:val="28"/>
          <w:szCs w:val="27"/>
        </w:rPr>
      </w:r>
      <w:r>
        <w:rPr>
          <w:sz w:val="22"/>
        </w:rPr>
      </w:r>
    </w:p>
    <w:p>
      <w:pPr>
        <w:ind w:firstLine="709"/>
        <w:jc w:val="both"/>
        <w:rPr>
          <w:sz w:val="22"/>
        </w:rPr>
      </w:pPr>
      <w:r>
        <w:rPr>
          <w:sz w:val="28"/>
          <w:szCs w:val="27"/>
        </w:rPr>
        <w:t xml:space="preserve">- большинство собственников помещений в многоквартирном доме не заключили договоры, предусмотренные статьей 164 Жилищного кодекса Российской Федерации;</w:t>
      </w:r>
      <w:r>
        <w:rPr>
          <w:sz w:val="28"/>
          <w:szCs w:val="27"/>
        </w:rPr>
      </w:r>
      <w:r>
        <w:rPr>
          <w:sz w:val="22"/>
        </w:rPr>
      </w:r>
    </w:p>
    <w:p>
      <w:pPr>
        <w:ind w:firstLine="709"/>
        <w:jc w:val="both"/>
        <w:rPr>
          <w:sz w:val="22"/>
        </w:rPr>
      </w:pPr>
      <w:r>
        <w:rPr>
          <w:sz w:val="28"/>
          <w:szCs w:val="27"/>
        </w:rPr>
        <w:t xml:space="preserve">-</w:t>
      </w:r>
      <w:r>
        <w:rPr>
          <w:sz w:val="28"/>
          <w:szCs w:val="27"/>
        </w:rPr>
        <w:t xml:space="preserve"> собственники помещений в многоквартирном доме не направили в уполномоченный федеральный орган исполнительной власти документы, необходимые для государственной регистрации товарищества собственников жилья либо жилищного кооператива или иного специализирова</w:t>
      </w:r>
      <w:r>
        <w:rPr>
          <w:sz w:val="28"/>
          <w:szCs w:val="27"/>
        </w:rPr>
        <w:t xml:space="preserve">нного потребительского кооператива;</w:t>
      </w:r>
      <w:r>
        <w:rPr>
          <w:sz w:val="28"/>
          <w:szCs w:val="27"/>
        </w:rPr>
      </w:r>
      <w:r>
        <w:rPr>
          <w:sz w:val="22"/>
        </w:rPr>
      </w:r>
    </w:p>
    <w:p>
      <w:pPr>
        <w:ind w:firstLine="709"/>
        <w:jc w:val="both"/>
        <w:rPr>
          <w:sz w:val="22"/>
        </w:rPr>
      </w:pPr>
      <w:r>
        <w:rPr>
          <w:sz w:val="28"/>
          <w:szCs w:val="27"/>
        </w:rPr>
        <w:t xml:space="preserve">- не заключены договоры управления многоквартирным домом, предусмотренные статьей 162 Жилищного кодекса Российской Федерации;</w:t>
      </w:r>
      <w:r>
        <w:rPr>
          <w:sz w:val="28"/>
          <w:szCs w:val="27"/>
        </w:rPr>
      </w:r>
      <w:r>
        <w:rPr>
          <w:sz w:val="22"/>
        </w:rPr>
      </w:r>
    </w:p>
    <w:p>
      <w:pPr>
        <w:ind w:firstLine="709"/>
        <w:jc w:val="both"/>
        <w:rPr>
          <w:sz w:val="22"/>
        </w:rPr>
      </w:pPr>
      <w:r>
        <w:rPr>
          <w:sz w:val="28"/>
          <w:szCs w:val="27"/>
        </w:rPr>
        <w:t xml:space="preserve">3) до окончания срока действия договора управления многоквартирным домом, заключенного по результатам конкурса, не выбран способ управления этим домом или если принятое решение о выборе способа управления этим домом не было реализовано;</w:t>
      </w:r>
      <w:r>
        <w:rPr>
          <w:sz w:val="28"/>
          <w:szCs w:val="27"/>
        </w:rPr>
      </w:r>
      <w:r>
        <w:rPr>
          <w:sz w:val="22"/>
        </w:rPr>
      </w:r>
    </w:p>
    <w:p>
      <w:pPr>
        <w:ind w:firstLine="709"/>
        <w:jc w:val="both"/>
        <w:rPr>
          <w:sz w:val="22"/>
        </w:rPr>
      </w:pPr>
      <w:r>
        <w:rPr>
          <w:sz w:val="28"/>
          <w:szCs w:val="27"/>
        </w:rPr>
        <w:t xml:space="preserve">4) в установленном законодательством Российской Федерации о градостроительной деятельности порядке выдано разрешение на ввод в эксплуатацию многоквартирного дома.</w:t>
      </w:r>
      <w:r>
        <w:rPr>
          <w:sz w:val="28"/>
          <w:szCs w:val="27"/>
        </w:rPr>
      </w:r>
      <w:r>
        <w:rPr>
          <w:sz w:val="22"/>
        </w:rPr>
      </w:r>
    </w:p>
    <w:p>
      <w:pPr>
        <w:ind w:firstLine="709"/>
        <w:jc w:val="both"/>
        <w:rPr>
          <w:sz w:val="22"/>
        </w:rPr>
      </w:pPr>
      <w:r>
        <w:rPr>
          <w:sz w:val="28"/>
          <w:szCs w:val="27"/>
        </w:rPr>
        <w:t xml:space="preserve">Инспекцией в адрес администрации Панинского городского поселения Панинского муниципального района Воронежской области  направлен запрос (от 02.04.2021 № 1408-16-16) о предоставлении сведений, в том числе:</w:t>
      </w:r>
      <w:r>
        <w:rPr>
          <w:sz w:val="28"/>
          <w:szCs w:val="27"/>
        </w:rPr>
      </w:r>
      <w:r>
        <w:rPr>
          <w:sz w:val="22"/>
        </w:rPr>
      </w:r>
    </w:p>
    <w:p>
      <w:pPr>
        <w:ind w:firstLine="709"/>
        <w:jc w:val="both"/>
        <w:rPr>
          <w:sz w:val="22"/>
        </w:rPr>
      </w:pPr>
      <w:r>
        <w:rPr>
          <w:sz w:val="28"/>
          <w:szCs w:val="27"/>
        </w:rPr>
        <w:t xml:space="preserve">1) о перечне многоквартирных домов, собственниками помещений которых избран непосредственный способ управления многоквартирным домом;</w:t>
      </w:r>
      <w:r>
        <w:rPr>
          <w:sz w:val="28"/>
          <w:szCs w:val="27"/>
        </w:rPr>
      </w:r>
      <w:r>
        <w:rPr>
          <w:sz w:val="22"/>
        </w:rPr>
      </w:r>
    </w:p>
    <w:p>
      <w:pPr>
        <w:ind w:firstLine="709"/>
        <w:jc w:val="both"/>
        <w:rPr>
          <w:sz w:val="22"/>
        </w:rPr>
      </w:pPr>
      <w:r>
        <w:rPr>
          <w:sz w:val="28"/>
          <w:szCs w:val="27"/>
        </w:rPr>
        <w:t xml:space="preserve">2) сведения о заключении собственниками помещений многоквартирных домов с непосредственным способом управления договоров в порядке, установленным частью 1 статьи 164 Жилищного кодекса Российской Федерации;</w:t>
      </w:r>
      <w:r>
        <w:rPr>
          <w:sz w:val="28"/>
          <w:szCs w:val="27"/>
        </w:rPr>
      </w:r>
      <w:r>
        <w:rPr>
          <w:sz w:val="22"/>
        </w:rPr>
      </w:r>
    </w:p>
    <w:p>
      <w:pPr>
        <w:ind w:firstLine="709"/>
        <w:jc w:val="both"/>
        <w:rPr>
          <w:sz w:val="22"/>
        </w:rPr>
      </w:pPr>
      <w:r>
        <w:rPr>
          <w:sz w:val="28"/>
          <w:szCs w:val="27"/>
        </w:rPr>
        <w:t xml:space="preserve">3) сведения о многоквартирных домах, где не избран способ управления или избранный способ управления не реализован;</w:t>
      </w:r>
      <w:r>
        <w:rPr>
          <w:sz w:val="28"/>
          <w:szCs w:val="27"/>
        </w:rPr>
      </w:r>
      <w:r>
        <w:rPr>
          <w:sz w:val="22"/>
        </w:rPr>
      </w:r>
    </w:p>
    <w:p>
      <w:pPr>
        <w:ind w:firstLine="709"/>
        <w:jc w:val="both"/>
        <w:rPr>
          <w:sz w:val="22"/>
        </w:rPr>
      </w:pPr>
      <w:r>
        <w:rPr>
          <w:sz w:val="28"/>
          <w:szCs w:val="27"/>
        </w:rPr>
        <w:t xml:space="preserve">4) сведения об объявлении органом местного самоуправления и проведении открытого конкурса по отбору управляющей организации для управления многоквартирными домами в период с января 2020 по февраль 2021 года (с приложением конкурсной документации).</w:t>
      </w:r>
      <w:r>
        <w:rPr>
          <w:sz w:val="28"/>
          <w:szCs w:val="27"/>
        </w:rPr>
      </w:r>
      <w:r>
        <w:rPr>
          <w:sz w:val="22"/>
        </w:rPr>
      </w:r>
    </w:p>
    <w:p>
      <w:pPr>
        <w:ind w:firstLine="709"/>
        <w:jc w:val="both"/>
        <w:rPr>
          <w:sz w:val="22"/>
        </w:rPr>
      </w:pPr>
      <w:r>
        <w:rPr>
          <w:sz w:val="28"/>
          <w:szCs w:val="27"/>
        </w:rPr>
        <w:t xml:space="preserve">Н</w:t>
      </w:r>
      <w:r>
        <w:rPr>
          <w:sz w:val="28"/>
          <w:szCs w:val="27"/>
        </w:rPr>
        <w:t xml:space="preserve">а запрос Инспекции представлены сведения о том, что в городском поселении Панинского муниципального района Воронежской области управляющие организации отсутствуют, а действует способ управления - непосредственное управление собственниками помещений в много</w:t>
      </w:r>
      <w:r>
        <w:rPr>
          <w:sz w:val="28"/>
          <w:szCs w:val="27"/>
        </w:rPr>
        <w:t xml:space="preserve">квартирном доме, при чем перечень многоквартирных домов, собственниками помещений которых избран непосредственный способ управления многоквартирным домом не предоставлен.</w:t>
      </w:r>
      <w:r>
        <w:rPr>
          <w:sz w:val="28"/>
          <w:szCs w:val="27"/>
        </w:rPr>
      </w:r>
      <w:r>
        <w:rPr>
          <w:sz w:val="22"/>
        </w:rPr>
      </w:r>
    </w:p>
    <w:p>
      <w:pPr>
        <w:ind w:firstLine="709"/>
        <w:jc w:val="both"/>
        <w:rPr>
          <w:sz w:val="22"/>
        </w:rPr>
      </w:pPr>
      <w:r>
        <w:rPr>
          <w:sz w:val="28"/>
          <w:szCs w:val="27"/>
        </w:rPr>
        <w:t xml:space="preserve">С</w:t>
      </w:r>
      <w:r>
        <w:rPr>
          <w:sz w:val="28"/>
          <w:szCs w:val="27"/>
        </w:rPr>
        <w:t xml:space="preserve">ведений о заключении собственниками помещений многоквартирных домов с непосредственным способом управления договоров в порядке, установленным частью 1 статьи 164 Жилищного кодекса Российской Федерации не предоставлено. Таким образом, избранный непосредстве</w:t>
      </w:r>
      <w:r>
        <w:rPr>
          <w:sz w:val="28"/>
          <w:szCs w:val="27"/>
        </w:rPr>
        <w:t xml:space="preserve">нный способ управления многоквартирным домом можно считать не реализован.</w:t>
      </w:r>
      <w:r>
        <w:rPr>
          <w:sz w:val="28"/>
          <w:szCs w:val="27"/>
        </w:rPr>
      </w:r>
      <w:r>
        <w:rPr>
          <w:sz w:val="22"/>
        </w:rPr>
      </w:r>
    </w:p>
    <w:p>
      <w:pPr>
        <w:ind w:firstLine="709"/>
        <w:jc w:val="both"/>
        <w:rPr>
          <w:sz w:val="22"/>
        </w:rPr>
      </w:pPr>
      <w:r>
        <w:rPr>
          <w:sz w:val="28"/>
          <w:szCs w:val="27"/>
        </w:rPr>
        <w:t xml:space="preserve">С</w:t>
      </w:r>
      <w:r>
        <w:rPr>
          <w:sz w:val="28"/>
          <w:szCs w:val="27"/>
        </w:rPr>
        <w:t xml:space="preserve">ведений об объявлении органом местного самоуправления и проведении открытого конкурса по отбору управляющей организации для управления многоквартирными домами в период с января 2020 по февраль 2021 года (с приложением конкурсной документации) также не имее</w:t>
      </w:r>
      <w:r>
        <w:rPr>
          <w:sz w:val="28"/>
          <w:szCs w:val="27"/>
        </w:rPr>
        <w:t xml:space="preserve">тся.</w:t>
      </w:r>
      <w:r>
        <w:rPr>
          <w:sz w:val="28"/>
          <w:szCs w:val="27"/>
        </w:rPr>
      </w:r>
      <w:r>
        <w:rPr>
          <w:sz w:val="22"/>
        </w:rPr>
      </w:r>
    </w:p>
    <w:p>
      <w:pPr>
        <w:ind w:firstLine="709"/>
        <w:jc w:val="both"/>
        <w:rPr>
          <w:sz w:val="22"/>
        </w:rPr>
      </w:pPr>
      <w:r>
        <w:rPr>
          <w:sz w:val="28"/>
          <w:szCs w:val="27"/>
        </w:rPr>
        <w:t xml:space="preserve">I</w:t>
      </w:r>
      <w:r>
        <w:rPr>
          <w:sz w:val="28"/>
          <w:szCs w:val="27"/>
        </w:rPr>
        <w:t xml:space="preserve">I. В соответствии с частью 1.1 статьи 165 Жилищного кодекса Российской Федерации, орган местного самоуправления на основании обращения собственников помещений в многоквартирном доме, председателя совета многоквартирного дома, органов управления товариществ</w:t>
      </w:r>
      <w:r>
        <w:rPr>
          <w:sz w:val="28"/>
          <w:szCs w:val="27"/>
        </w:rPr>
        <w:t xml:space="preserve">а</w:t>
      </w:r>
      <w:r>
        <w:rPr>
          <w:sz w:val="28"/>
          <w:szCs w:val="27"/>
        </w:rPr>
        <w:t xml:space="preserve"> собственников жилья либо органов управления жилищного кооператива или органов управления иного специализированного потребительского кооператива, указанных в части 8 статьи 20 настоящего Кодекса общественных объединений, иных некоммерческих организаций о н</w:t>
      </w:r>
      <w:r>
        <w:rPr>
          <w:sz w:val="28"/>
          <w:szCs w:val="27"/>
        </w:rPr>
        <w:t xml:space="preserve">евыполнении управляющей организацией обязательств, предусмотренных частью 2 статьи 162 настоящего Кодекса, в пятидневный срок проводит внеплановую проверку деятельности управляющей организации.</w:t>
      </w:r>
      <w:r>
        <w:rPr>
          <w:sz w:val="28"/>
          <w:szCs w:val="27"/>
        </w:rPr>
      </w:r>
      <w:r>
        <w:rPr>
          <w:sz w:val="22"/>
        </w:rPr>
      </w:r>
    </w:p>
    <w:p>
      <w:pPr>
        <w:ind w:firstLine="709"/>
        <w:jc w:val="both"/>
        <w:rPr>
          <w:sz w:val="22"/>
        </w:rPr>
      </w:pPr>
      <w:r>
        <w:rPr>
          <w:sz w:val="28"/>
          <w:szCs w:val="27"/>
        </w:rPr>
        <w:t xml:space="preserve">П</w:t>
      </w:r>
      <w:r>
        <w:rPr>
          <w:sz w:val="28"/>
          <w:szCs w:val="27"/>
        </w:rPr>
        <w:t xml:space="preserve">о информации, предоставленной администрации Панинского городского поселения Панинского муниципального района Воронежской области в 2020 году в администрации Панинского городского поселения Панинского муниципального района Воронежской области обращения о не</w:t>
      </w:r>
      <w:r>
        <w:rPr>
          <w:sz w:val="28"/>
          <w:szCs w:val="27"/>
        </w:rPr>
        <w:t xml:space="preserve">в</w:t>
      </w:r>
      <w:r>
        <w:rPr>
          <w:sz w:val="28"/>
          <w:szCs w:val="27"/>
        </w:rPr>
        <w:t xml:space="preserve">ыполнении управляющей организацией обязательств, предусмотренных частью 2 статьи 162 Жилищного кодекса Российской Федерации не поступали, внеплановые проверки деятельности управляющих организаций в порядке части 1.1 статьи 165 Жилищного кодекса Российской </w:t>
      </w:r>
      <w:r>
        <w:rPr>
          <w:sz w:val="28"/>
          <w:szCs w:val="27"/>
        </w:rPr>
        <w:t xml:space="preserve">Федерации не проводились.</w:t>
      </w:r>
      <w:r>
        <w:rPr>
          <w:sz w:val="28"/>
          <w:szCs w:val="27"/>
        </w:rPr>
      </w:r>
      <w:r>
        <w:rPr>
          <w:sz w:val="22"/>
        </w:rPr>
      </w:r>
    </w:p>
    <w:p>
      <w:pPr>
        <w:ind w:firstLine="709"/>
        <w:jc w:val="both"/>
        <w:rPr>
          <w:sz w:val="22"/>
        </w:rPr>
      </w:pPr>
      <w:r>
        <w:rPr>
          <w:sz w:val="28"/>
          <w:szCs w:val="27"/>
        </w:rPr>
        <w:t xml:space="preserve">I</w:t>
      </w:r>
      <w:r>
        <w:rPr>
          <w:sz w:val="28"/>
          <w:szCs w:val="27"/>
        </w:rPr>
        <w:t xml:space="preserve">II. В соответствии со статьи 8 Федерального закона от 21.07.2014 № 209-ФЗ «О государственной информационной системе жилищно-коммунального хозяйства», поставщики информации размещают в системе информацию, предусмотренную настоящим Федеральным законом, в том</w:t>
      </w:r>
      <w:r>
        <w:rPr>
          <w:sz w:val="28"/>
          <w:szCs w:val="27"/>
        </w:rPr>
        <w:t xml:space="preserve"> </w:t>
      </w:r>
      <w:r>
        <w:rPr>
          <w:sz w:val="28"/>
          <w:szCs w:val="27"/>
        </w:rPr>
        <w:t xml:space="preserve">числе с использованием имеющихся у них информационных систем, с соблюдением порядка, установленного в соответствии с пунктом 10 части 3 статьи 7 настоящего Федерального закона; размещение информации в системе поставщиками информации осуществляется с исполь</w:t>
      </w:r>
      <w:r>
        <w:rPr>
          <w:sz w:val="28"/>
          <w:szCs w:val="27"/>
        </w:rPr>
        <w:t xml:space="preserve">зованием электронной подписи в порядке, установленном в соответствии с пунктом 2 части 3 статьи 7 настоящего Федерального закона; поставщики информации обеспечивают полноту, достоверность, актуальность информации и своевременность ее размещения в системе.</w:t>
      </w:r>
      <w:r>
        <w:rPr>
          <w:sz w:val="28"/>
          <w:szCs w:val="27"/>
        </w:rPr>
      </w:r>
      <w:r>
        <w:rPr>
          <w:sz w:val="22"/>
        </w:rPr>
      </w:r>
    </w:p>
    <w:p>
      <w:pPr>
        <w:ind w:firstLine="709"/>
        <w:jc w:val="both"/>
        <w:rPr>
          <w:sz w:val="22"/>
        </w:rPr>
      </w:pPr>
      <w:r>
        <w:rPr>
          <w:sz w:val="28"/>
          <w:szCs w:val="27"/>
        </w:rPr>
        <w:t xml:space="preserve">В</w:t>
      </w:r>
      <w:r>
        <w:rPr>
          <w:sz w:val="28"/>
          <w:szCs w:val="27"/>
        </w:rPr>
        <w:t xml:space="preserve"> соответствии с Приказом Минкомсвязи России № 504, Минстроя России № 934/пр от 30.12.2014 «Об определении официального сайта государственной информационной системы жилищно-коммунального хозяйства в информационно-телекоммуникационной сети «Интернет» официал</w:t>
      </w:r>
      <w:r>
        <w:rPr>
          <w:sz w:val="28"/>
          <w:szCs w:val="27"/>
        </w:rPr>
        <w:t xml:space="preserve">ь</w:t>
      </w:r>
      <w:r>
        <w:rPr>
          <w:sz w:val="28"/>
          <w:szCs w:val="27"/>
        </w:rPr>
        <w:t xml:space="preserve">ным сайтом в сети Интернет, предназначенным для раскрытия информации организациями, осуществляющими деятельность в сфере управления многоквартирными домами, путем ее опубликования в сети Интернет определен сайт государственной информационной системы жилищн</w:t>
      </w:r>
      <w:r>
        <w:rPr>
          <w:sz w:val="28"/>
          <w:szCs w:val="27"/>
        </w:rPr>
        <w:t xml:space="preserve">о-коммунального хозяйства (далее – ГИС ЖКХ): www.dom.gosuslugi.ru.</w:t>
      </w:r>
      <w:r>
        <w:rPr>
          <w:sz w:val="28"/>
          <w:szCs w:val="27"/>
        </w:rPr>
      </w:r>
      <w:r>
        <w:rPr>
          <w:sz w:val="22"/>
        </w:rPr>
      </w:r>
    </w:p>
    <w:p>
      <w:pPr>
        <w:ind w:firstLine="709"/>
        <w:jc w:val="both"/>
        <w:rPr>
          <w:sz w:val="22"/>
        </w:rPr>
      </w:pPr>
      <w:r>
        <w:rPr>
          <w:sz w:val="28"/>
          <w:szCs w:val="27"/>
        </w:rPr>
        <w:t xml:space="preserve">П</w:t>
      </w:r>
      <w:r>
        <w:rPr>
          <w:sz w:val="28"/>
          <w:szCs w:val="27"/>
        </w:rPr>
        <w:t xml:space="preserve">орядок, состав, сроки и периодичность размещения информации поставщиками информации в ГИС ЖКХ утверждены Приказом Минкомсвязи России № 74, Минстроя России № 114/пр от 29.02.2016 «Об утверждении состава, сроков и периодичности размещения информации поставщи</w:t>
      </w:r>
      <w:r>
        <w:rPr>
          <w:sz w:val="28"/>
          <w:szCs w:val="27"/>
        </w:rPr>
        <w:t xml:space="preserve">ками информации в государственной информационной системе жилищно-коммунального хозяйства» (далее – Приказ № 74/114/пр).</w:t>
      </w:r>
      <w:r>
        <w:rPr>
          <w:sz w:val="28"/>
          <w:szCs w:val="27"/>
        </w:rPr>
      </w:r>
      <w:r>
        <w:rPr>
          <w:sz w:val="22"/>
        </w:rPr>
      </w:r>
    </w:p>
    <w:p>
      <w:pPr>
        <w:ind w:firstLine="709"/>
        <w:jc w:val="both"/>
        <w:rPr>
          <w:sz w:val="22"/>
        </w:rPr>
      </w:pPr>
      <w:r>
        <w:rPr>
          <w:sz w:val="28"/>
          <w:szCs w:val="27"/>
        </w:rPr>
        <w:t xml:space="preserve">И</w:t>
      </w:r>
      <w:r>
        <w:rPr>
          <w:sz w:val="28"/>
          <w:szCs w:val="27"/>
        </w:rPr>
        <w:t xml:space="preserve">нформация, подлежащая размещению в системе органами местного самоуправления в случаях, если собственниками помещений в многоквартирном доме не выбран способ управления многоквартирным домом или если принятое решение о выборе способа управления этим домом н</w:t>
      </w:r>
      <w:r>
        <w:rPr>
          <w:sz w:val="28"/>
          <w:szCs w:val="27"/>
        </w:rPr>
        <w:t xml:space="preserve">е было реализовано, а также в случаях, если собственниками помещений выбран способ управления многоквартирным домом - непосредственное управление собственниками помещений в многоквартирном доме размещается в соответствии с разделом 7 Приказа № 74/114/пр.</w:t>
      </w:r>
      <w:r>
        <w:rPr>
          <w:sz w:val="28"/>
          <w:szCs w:val="27"/>
        </w:rPr>
      </w:r>
      <w:r>
        <w:rPr>
          <w:sz w:val="22"/>
        </w:rPr>
      </w:r>
    </w:p>
    <w:p>
      <w:pPr>
        <w:ind w:firstLine="709"/>
        <w:jc w:val="both"/>
        <w:rPr>
          <w:sz w:val="22"/>
        </w:rPr>
      </w:pPr>
      <w:r>
        <w:rPr>
          <w:sz w:val="28"/>
          <w:szCs w:val="27"/>
        </w:rPr>
        <w:t xml:space="preserve">П</w:t>
      </w:r>
      <w:r>
        <w:rPr>
          <w:sz w:val="28"/>
          <w:szCs w:val="27"/>
        </w:rPr>
        <w:t xml:space="preserve">ри изучении, размещенной в государственной информационной системе жилищно-коммунального хозяйства, информации установлено, что администрации Панинского городского поселения Панинского муниципального района Воронежской области размещена информация, установл</w:t>
      </w:r>
      <w:r>
        <w:rPr>
          <w:sz w:val="28"/>
          <w:szCs w:val="27"/>
        </w:rPr>
        <w:t xml:space="preserve">енная разделом 7 Приказа  № 74/114/пр не в полном объеме. </w:t>
      </w:r>
      <w:r>
        <w:rPr>
          <w:sz w:val="28"/>
          <w:szCs w:val="27"/>
        </w:rPr>
      </w:r>
      <w:r>
        <w:rPr>
          <w:sz w:val="22"/>
        </w:rPr>
      </w:r>
    </w:p>
    <w:p>
      <w:pPr>
        <w:ind w:firstLine="709"/>
        <w:jc w:val="both"/>
        <w:rPr>
          <w:sz w:val="22"/>
        </w:rPr>
      </w:pPr>
      <w:r>
        <w:rPr>
          <w:sz w:val="28"/>
          <w:szCs w:val="27"/>
        </w:rPr>
        <w:t xml:space="preserve">Т</w:t>
      </w:r>
      <w:r>
        <w:rPr>
          <w:sz w:val="28"/>
          <w:szCs w:val="27"/>
        </w:rPr>
        <w:t xml:space="preserve">ак например, согласно раздела 7 Приказа № 74/114/пр, информация об объектах государственного учета жилищного фонда, включая их технические характеристики и состояние по многоквартирным домам (выборочно): ул. Чапаева, д. 11, ул. Заводская, д. 5, рп Панино, </w:t>
      </w:r>
      <w:r>
        <w:rPr>
          <w:sz w:val="28"/>
          <w:szCs w:val="27"/>
        </w:rPr>
        <w:t xml:space="preserve">П</w:t>
      </w:r>
      <w:r>
        <w:rPr>
          <w:sz w:val="28"/>
          <w:szCs w:val="27"/>
        </w:rPr>
        <w:t xml:space="preserve">анинский район с. Александровка, ул. Школьная, д.18, Панинский район, п. Перелешино, ул. 50 лет Октября, д.6 (выборочно) не размещена информация, установленная п. 1 Информация о размере платы за содержание жилого помещения, 3.1.11. Количество жилых помещен</w:t>
      </w:r>
      <w:r>
        <w:rPr>
          <w:sz w:val="28"/>
          <w:szCs w:val="27"/>
        </w:rPr>
        <w:t xml:space="preserve">и</w:t>
      </w:r>
      <w:r>
        <w:rPr>
          <w:sz w:val="28"/>
          <w:szCs w:val="27"/>
        </w:rPr>
        <w:t xml:space="preserve">й, 3.1.12. Количество нежилых помещений, 3.1.14.1. Общая площадь жилых помещений, 3.1.14.2. Общая площадь нежилых помещений, за исключением помещений общего пользования, 3.1.14.3. Общая площадь помещений общего пользования в многоквартирном доме, 3.2. Свед</w:t>
      </w:r>
      <w:r>
        <w:rPr>
          <w:sz w:val="28"/>
          <w:szCs w:val="27"/>
        </w:rPr>
        <w:t xml:space="preserve">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 и иные.</w:t>
      </w:r>
      <w:r>
        <w:rPr>
          <w:sz w:val="28"/>
          <w:szCs w:val="27"/>
        </w:rPr>
      </w:r>
      <w:r>
        <w:rPr>
          <w:sz w:val="22"/>
        </w:rPr>
      </w:r>
    </w:p>
    <w:p>
      <w:pPr>
        <w:ind w:firstLine="709"/>
        <w:jc w:val="both"/>
        <w:rPr>
          <w:sz w:val="22"/>
        </w:rPr>
      </w:pPr>
      <w:r>
        <w:rPr>
          <w:sz w:val="28"/>
          <w:szCs w:val="27"/>
        </w:rPr>
        <w:t xml:space="preserve">Т</w:t>
      </w:r>
      <w:r>
        <w:rPr>
          <w:sz w:val="28"/>
          <w:szCs w:val="27"/>
        </w:rPr>
        <w:t xml:space="preserve">акже отсутствует размещенная информация о размере платы за содержание жилого помещения для собственников помещений многоквартирных домов чей способ управления многоквартирным домом - непосредственное управление собственниками помещений в многоквартирном до</w:t>
      </w:r>
      <w:r>
        <w:rPr>
          <w:sz w:val="28"/>
          <w:szCs w:val="27"/>
        </w:rPr>
        <w:t xml:space="preserve">м</w:t>
      </w:r>
      <w:r>
        <w:rPr>
          <w:sz w:val="28"/>
          <w:szCs w:val="27"/>
        </w:rPr>
        <w:t xml:space="preserve">е и которые на общем собрании не приняли решение об установлении размера платы за содержание жилого помещения (пункт 1 раздела 7 Приказа № 74/114/пр); а также информация о проведении открытого конкурса по отбору управляющей организации в целях заключения д</w:t>
      </w:r>
      <w:r>
        <w:rPr>
          <w:sz w:val="28"/>
          <w:szCs w:val="27"/>
        </w:rPr>
        <w:t xml:space="preserve">оговора управления многоквартирным домом (пункт 2 раздела 7 Приказа № 74/114/пр).</w:t>
      </w:r>
      <w:r>
        <w:rPr>
          <w:sz w:val="28"/>
          <w:szCs w:val="27"/>
        </w:rPr>
      </w:r>
      <w:r>
        <w:rPr>
          <w:sz w:val="22"/>
        </w:rPr>
      </w:r>
    </w:p>
    <w:p>
      <w:pPr>
        <w:ind w:firstLine="709"/>
        <w:jc w:val="both"/>
        <w:rPr>
          <w:sz w:val="22"/>
        </w:rPr>
      </w:pPr>
      <w:r>
        <w:rPr>
          <w:sz w:val="28"/>
          <w:szCs w:val="27"/>
        </w:rPr>
        <w:t xml:space="preserve">I</w:t>
      </w:r>
      <w:r>
        <w:rPr>
          <w:sz w:val="28"/>
          <w:szCs w:val="27"/>
        </w:rPr>
        <w:t xml:space="preserve">V. Согласно положениям части 3 статьи 156 Жилищного кодекса Российской Федерации размер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</w:t>
      </w:r>
      <w:r>
        <w:rPr>
          <w:sz w:val="28"/>
          <w:szCs w:val="27"/>
        </w:rPr>
        <w:t xml:space="preserve">о жилищного фонда и размер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устанавливаются органами местного самоуправления.</w:t>
      </w:r>
      <w:r>
        <w:rPr>
          <w:sz w:val="28"/>
          <w:szCs w:val="27"/>
        </w:rPr>
      </w:r>
      <w:r>
        <w:rPr>
          <w:sz w:val="22"/>
        </w:rPr>
      </w:r>
    </w:p>
    <w:p>
      <w:pPr>
        <w:ind w:firstLine="709"/>
        <w:jc w:val="both"/>
        <w:rPr>
          <w:sz w:val="22"/>
        </w:rPr>
      </w:pPr>
      <w:r>
        <w:rPr>
          <w:sz w:val="28"/>
          <w:szCs w:val="27"/>
        </w:rPr>
        <w:t xml:space="preserve">В</w:t>
      </w:r>
      <w:r>
        <w:rPr>
          <w:sz w:val="28"/>
          <w:szCs w:val="27"/>
        </w:rPr>
        <w:t xml:space="preserve"> силу части 4 статьи 158 ЖК РФ, если собственники помещений в многоквартирном доме на их общем собрании не приняли решение об установлении размера платы за содержание и ремонт жилого помещения, такой размер устанавливается органом местного самоуправления. </w:t>
      </w:r>
      <w:r>
        <w:rPr>
          <w:sz w:val="28"/>
          <w:szCs w:val="27"/>
        </w:rPr>
      </w:r>
      <w:r>
        <w:rPr>
          <w:sz w:val="22"/>
        </w:rPr>
      </w:r>
    </w:p>
    <w:p>
      <w:pPr>
        <w:ind w:firstLine="709"/>
        <w:jc w:val="both"/>
        <w:rPr>
          <w:sz w:val="22"/>
        </w:rPr>
      </w:pPr>
      <w:r>
        <w:rPr>
          <w:sz w:val="28"/>
          <w:szCs w:val="27"/>
        </w:rPr>
        <w:t xml:space="preserve">Р</w:t>
      </w:r>
      <w:r>
        <w:rPr>
          <w:sz w:val="28"/>
          <w:szCs w:val="27"/>
        </w:rPr>
        <w:t xml:space="preserve">аспоряжением администрации Панинского городского поселения Панинского муниципального района Воронежской области  от 15.07.2016 № 41ОД, установлен размер платы за пользование жилым помещением по договорам социального найма и договорам найма жилых помещений </w:t>
      </w:r>
      <w:r>
        <w:rPr>
          <w:sz w:val="28"/>
          <w:szCs w:val="27"/>
        </w:rPr>
        <w:t xml:space="preserve">муниципального жилищного фонда.</w:t>
      </w:r>
      <w:r>
        <w:rPr>
          <w:sz w:val="28"/>
          <w:szCs w:val="27"/>
        </w:rPr>
      </w:r>
      <w:r>
        <w:rPr>
          <w:sz w:val="22"/>
        </w:rPr>
      </w:r>
    </w:p>
    <w:p>
      <w:pPr>
        <w:ind w:firstLine="709"/>
        <w:jc w:val="both"/>
        <w:rPr>
          <w:sz w:val="22"/>
        </w:rPr>
      </w:pPr>
      <w:r>
        <w:rPr>
          <w:sz w:val="28"/>
          <w:szCs w:val="27"/>
        </w:rPr>
        <w:t xml:space="preserve">Н</w:t>
      </w:r>
      <w:r>
        <w:rPr>
          <w:sz w:val="28"/>
          <w:szCs w:val="27"/>
        </w:rPr>
        <w:t xml:space="preserve">а основании выше изложенного, по выявленным нарушениям ст. 8 Федерального закона от 21.07.2014 № 209-ФЗ «О государственной информационной системе жилищно-коммунального хозяйства», раздела 7 Приказа Минкомсвязи России № 74, Минстроя России № 114/пр от 29.02</w:t>
      </w:r>
      <w:r>
        <w:rPr>
          <w:sz w:val="28"/>
          <w:szCs w:val="27"/>
        </w:rPr>
        <w:t xml:space="preserve">.</w:t>
      </w:r>
      <w:r>
        <w:rPr>
          <w:sz w:val="28"/>
          <w:szCs w:val="27"/>
        </w:rPr>
        <w:t xml:space="preserve">2016 «Об утверждении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хозяйства» (далее - Приказ № 74/114/пр) отделом правового регулирования выдано предписание на </w:t>
      </w:r>
      <w:r>
        <w:rPr>
          <w:sz w:val="28"/>
          <w:szCs w:val="27"/>
        </w:rPr>
        <w:t xml:space="preserve">устранение выявленных нарушений со сроком до 30.06.2021.</w:t>
      </w:r>
      <w:r>
        <w:rPr>
          <w:sz w:val="28"/>
          <w:szCs w:val="27"/>
        </w:rPr>
      </w:r>
      <w:r>
        <w:rPr>
          <w:sz w:val="22"/>
        </w:rPr>
      </w:r>
    </w:p>
    <w:p>
      <w:pPr>
        <w:ind w:firstLine="709"/>
        <w:jc w:val="both"/>
        <w:rPr>
          <w:sz w:val="22"/>
        </w:rPr>
      </w:pPr>
      <w:r>
        <w:rPr>
          <w:sz w:val="28"/>
          <w:szCs w:val="27"/>
        </w:rPr>
        <w:t xml:space="preserve">К</w:t>
      </w:r>
      <w:r>
        <w:rPr>
          <w:sz w:val="28"/>
          <w:szCs w:val="27"/>
        </w:rPr>
        <w:t xml:space="preserve">оличество газифицированных многоквартирных домов с разбивкой по способу управления (управляющие организации, товарищества и непосредственное управление), с указанием типа газового оборудования (колонка+плита, плита)- все 38 многоквартирных домов имеют непо</w:t>
      </w:r>
      <w:r>
        <w:rPr>
          <w:sz w:val="28"/>
          <w:szCs w:val="27"/>
        </w:rPr>
        <w:t xml:space="preserve">средственный способ управления(колонка+плита), только 1 дом расположенный по адресу р.п.Панино, ул.9 Января.За обслуживает газовая модульная котельная(плита).</w:t>
      </w:r>
      <w:r>
        <w:rPr>
          <w:sz w:val="28"/>
          <w:szCs w:val="27"/>
        </w:rPr>
      </w:r>
      <w:r>
        <w:rPr>
          <w:sz w:val="22"/>
        </w:rPr>
      </w:r>
    </w:p>
    <w:p>
      <w:pPr>
        <w:ind w:firstLine="709"/>
        <w:jc w:val="both"/>
        <w:rPr>
          <w:sz w:val="22"/>
        </w:rPr>
      </w:pPr>
      <w:r>
        <w:rPr>
          <w:sz w:val="28"/>
          <w:szCs w:val="27"/>
        </w:rPr>
        <w:t xml:space="preserve">Д</w:t>
      </w:r>
      <w:r>
        <w:rPr>
          <w:sz w:val="28"/>
          <w:szCs w:val="27"/>
        </w:rPr>
        <w:t xml:space="preserve">оговор на техническое обслуживание и аварийно-диспетчерское обеспечение внутридомового газового оборудования (ВДГО), заключаемых компанией со специализированными организациями с приложением актов обследования за период с 01.01.2020 по 01.03.2021 гг.- собст</w:t>
      </w:r>
      <w:r>
        <w:rPr>
          <w:sz w:val="28"/>
          <w:szCs w:val="27"/>
        </w:rPr>
        <w:t xml:space="preserve">венниками помещений многоквартирных домов заключены договора на техническое обслуживание и аварийно-диспетчерское обеспечение внутридомового газового оборудования (ВДГО).</w:t>
      </w:r>
      <w:r>
        <w:rPr>
          <w:sz w:val="28"/>
          <w:szCs w:val="27"/>
        </w:rPr>
      </w:r>
      <w:r>
        <w:rPr>
          <w:sz w:val="22"/>
        </w:rPr>
      </w:r>
    </w:p>
    <w:p>
      <w:pPr>
        <w:ind w:firstLine="709"/>
        <w:jc w:val="both"/>
        <w:rPr>
          <w:sz w:val="22"/>
        </w:rPr>
      </w:pPr>
      <w:r>
        <w:rPr>
          <w:sz w:val="28"/>
          <w:szCs w:val="27"/>
        </w:rPr>
        <w:t xml:space="preserve">Договора о техническом диагностировании внутридомового газового оборудования, отработавшего нормативные сроки эксплуатации более 30 внутридомовое газовое оборудование, отработавшее нормативные сроки эксплуатации более 30 лет отсутствует.</w:t>
      </w:r>
      <w:r>
        <w:rPr>
          <w:sz w:val="28"/>
          <w:szCs w:val="27"/>
        </w:rPr>
      </w:r>
      <w:r>
        <w:rPr>
          <w:sz w:val="22"/>
        </w:rPr>
      </w:r>
    </w:p>
    <w:p>
      <w:pPr>
        <w:ind w:firstLine="709"/>
        <w:jc w:val="both"/>
        <w:rPr>
          <w:sz w:val="22"/>
        </w:rPr>
      </w:pPr>
      <w:r>
        <w:rPr>
          <w:sz w:val="28"/>
          <w:szCs w:val="27"/>
        </w:rPr>
        <w:t xml:space="preserve">Н</w:t>
      </w:r>
      <w:r>
        <w:rPr>
          <w:sz w:val="28"/>
          <w:szCs w:val="27"/>
        </w:rPr>
        <w:t xml:space="preserve">а основании приказа государственной жилищной инспекции Воронежской области от 02.04.2021 №0З-пл отделом лицензирования и ведения реестров была проведена плановая документарная проверка в отношении администрации Панинского городского поселения Панинского му</w:t>
      </w:r>
      <w:r>
        <w:rPr>
          <w:sz w:val="28"/>
          <w:szCs w:val="27"/>
        </w:rPr>
        <w:t xml:space="preserve">н</w:t>
      </w:r>
      <w:r>
        <w:rPr>
          <w:sz w:val="28"/>
          <w:szCs w:val="27"/>
        </w:rPr>
        <w:t xml:space="preserve">иципального района Воронежской области на предмет соблюдения обязательных требований части 4 статьи 161 Жилищного кодекса Российской Федерации (в части соблюдения требований законодательства о проведении органом местного самоуправления конкурса по отбору у</w:t>
      </w:r>
      <w:r>
        <w:rPr>
          <w:sz w:val="28"/>
          <w:szCs w:val="27"/>
        </w:rPr>
        <w:t xml:space="preserve">правляющей организации для управления многоквартирными домами).</w:t>
      </w:r>
      <w:r>
        <w:rPr>
          <w:sz w:val="28"/>
          <w:szCs w:val="27"/>
        </w:rPr>
      </w:r>
      <w:r>
        <w:rPr>
          <w:sz w:val="22"/>
        </w:rPr>
      </w:r>
    </w:p>
    <w:p>
      <w:pPr>
        <w:ind w:firstLine="709"/>
        <w:jc w:val="both"/>
        <w:rPr>
          <w:sz w:val="22"/>
        </w:rPr>
      </w:pPr>
      <w:r>
        <w:rPr>
          <w:sz w:val="28"/>
          <w:szCs w:val="27"/>
        </w:rPr>
        <w:t xml:space="preserve">Частью 4 статьи 161 Жилищного кодекса Российской Федерации установлена обязанность органов местного самоуправления по проведению конкурса по отбору управляющей организации для управления многоквартирными домами.</w:t>
      </w:r>
      <w:r>
        <w:rPr>
          <w:sz w:val="28"/>
          <w:szCs w:val="27"/>
        </w:rPr>
      </w:r>
      <w:r>
        <w:rPr>
          <w:sz w:val="22"/>
        </w:rPr>
      </w:r>
    </w:p>
    <w:p>
      <w:pPr>
        <w:ind w:firstLine="709"/>
        <w:jc w:val="both"/>
        <w:rPr>
          <w:sz w:val="22"/>
        </w:rPr>
      </w:pPr>
      <w:r>
        <w:rPr>
          <w:sz w:val="28"/>
          <w:szCs w:val="27"/>
        </w:rPr>
        <w:t xml:space="preserve">П</w:t>
      </w:r>
      <w:r>
        <w:rPr>
          <w:sz w:val="28"/>
          <w:szCs w:val="27"/>
        </w:rPr>
        <w:t xml:space="preserve">орядок проведения открытого конкурса установлен Правилами проведения органом местного самоуправления открытого конкурса по отбору управляющей организации для управления многоквартирным домом (Правила утверждены Постановлением Правительства Российской Федер</w:t>
      </w:r>
      <w:r>
        <w:rPr>
          <w:sz w:val="28"/>
          <w:szCs w:val="27"/>
        </w:rPr>
        <w:t xml:space="preserve">ации от 06 февраля 2006 г. №75, далее - Правила).</w:t>
      </w:r>
      <w:r>
        <w:rPr>
          <w:sz w:val="28"/>
          <w:szCs w:val="27"/>
        </w:rPr>
      </w:r>
      <w:r>
        <w:rPr>
          <w:sz w:val="22"/>
        </w:rPr>
      </w:r>
    </w:p>
    <w:p>
      <w:pPr>
        <w:ind w:firstLine="709"/>
        <w:jc w:val="both"/>
        <w:rPr>
          <w:sz w:val="22"/>
        </w:rPr>
      </w:pPr>
      <w:r>
        <w:rPr>
          <w:sz w:val="28"/>
          <w:szCs w:val="27"/>
        </w:rPr>
        <w:t xml:space="preserve">Согласно пункту З Правил, конкурс проводится, если:</w:t>
      </w:r>
      <w:r>
        <w:rPr>
          <w:sz w:val="28"/>
          <w:szCs w:val="27"/>
        </w:rPr>
      </w:r>
      <w:r>
        <w:rPr>
          <w:sz w:val="22"/>
        </w:rPr>
      </w:r>
    </w:p>
    <w:p>
      <w:pPr>
        <w:ind w:firstLine="709"/>
        <w:jc w:val="both"/>
        <w:rPr>
          <w:sz w:val="22"/>
        </w:rPr>
      </w:pPr>
      <w:r>
        <w:rPr>
          <w:sz w:val="28"/>
          <w:szCs w:val="27"/>
        </w:rPr>
        <w:t xml:space="preserve">1) собственниками помещений в многоквартирном доме не выбран способ управления этим домом, в том числе в следующих случаях:</w:t>
      </w:r>
      <w:r>
        <w:rPr>
          <w:sz w:val="28"/>
          <w:szCs w:val="27"/>
        </w:rPr>
      </w:r>
      <w:r>
        <w:rPr>
          <w:sz w:val="22"/>
        </w:rPr>
      </w:r>
    </w:p>
    <w:p>
      <w:pPr>
        <w:ind w:firstLine="709"/>
        <w:jc w:val="both"/>
        <w:rPr>
          <w:sz w:val="22"/>
        </w:rPr>
      </w:pPr>
      <w:r>
        <w:rPr>
          <w:sz w:val="28"/>
          <w:szCs w:val="27"/>
        </w:rPr>
        <w:t xml:space="preserve">собственниками помещений в многоквартирном доме общее собрание по вопросу выбора способа управления многоквартирным домом не проводилось или решение о выборе способа управления многоквартирным домом не было принято;</w:t>
      </w:r>
      <w:r>
        <w:rPr>
          <w:sz w:val="28"/>
          <w:szCs w:val="27"/>
        </w:rPr>
      </w:r>
      <w:r>
        <w:rPr>
          <w:sz w:val="22"/>
        </w:rPr>
      </w:r>
    </w:p>
    <w:p>
      <w:pPr>
        <w:ind w:firstLine="709"/>
        <w:jc w:val="both"/>
        <w:rPr>
          <w:sz w:val="22"/>
        </w:rPr>
      </w:pPr>
      <w:r>
        <w:rPr>
          <w:sz w:val="28"/>
          <w:szCs w:val="27"/>
        </w:rPr>
        <w:t xml:space="preserve">п</w:t>
      </w:r>
      <w:r>
        <w:rPr>
          <w:sz w:val="28"/>
          <w:szCs w:val="27"/>
        </w:rPr>
        <w:t xml:space="preserve">о истечении 2 месяцев после вступления в законную силу решения суда о признании несостоявшимся общего собрания собственников помещений в многоквартирном доме по вопросу выбора способа управления многоквартирным домом повторное общее собрание не проводилось</w:t>
      </w:r>
      <w:r>
        <w:rPr>
          <w:sz w:val="28"/>
          <w:szCs w:val="27"/>
        </w:rPr>
        <w:t xml:space="preserve"> или решение о выборе способа управления многоквартирным домом не было принято;</w:t>
      </w:r>
      <w:r>
        <w:rPr>
          <w:sz w:val="28"/>
          <w:szCs w:val="27"/>
        </w:rPr>
      </w:r>
      <w:r>
        <w:rPr>
          <w:sz w:val="22"/>
        </w:rPr>
      </w:r>
    </w:p>
    <w:p>
      <w:pPr>
        <w:ind w:firstLine="709"/>
        <w:jc w:val="both"/>
        <w:rPr>
          <w:sz w:val="22"/>
        </w:rPr>
      </w:pPr>
      <w:r>
        <w:rPr>
          <w:sz w:val="28"/>
          <w:szCs w:val="27"/>
        </w:rPr>
        <w:t xml:space="preserve">2) принятое собственниками помещений в многоквартирном доме решение о выборе способа управления домом не реализовано, в том числе в следующих случаях:</w:t>
      </w:r>
      <w:r>
        <w:rPr>
          <w:sz w:val="28"/>
          <w:szCs w:val="27"/>
        </w:rPr>
      </w:r>
      <w:r>
        <w:rPr>
          <w:sz w:val="22"/>
        </w:rPr>
      </w:r>
    </w:p>
    <w:p>
      <w:pPr>
        <w:ind w:firstLine="709"/>
        <w:jc w:val="both"/>
        <w:rPr>
          <w:sz w:val="22"/>
        </w:rPr>
      </w:pPr>
      <w:r>
        <w:rPr>
          <w:sz w:val="28"/>
          <w:szCs w:val="27"/>
        </w:rPr>
        <w:t xml:space="preserve">- большинство собственников помещений в многоквартирном доме не заключили договоры, предусмотренные статьей 164 Жилищного кодекса</w:t>
      </w:r>
      <w:r>
        <w:rPr>
          <w:sz w:val="28"/>
          <w:szCs w:val="27"/>
        </w:rPr>
      </w:r>
      <w:r>
        <w:rPr>
          <w:sz w:val="22"/>
        </w:rPr>
      </w:r>
    </w:p>
    <w:p>
      <w:pPr>
        <w:ind w:firstLine="709"/>
        <w:jc w:val="both"/>
        <w:rPr>
          <w:sz w:val="22"/>
        </w:rPr>
      </w:pPr>
      <w:r>
        <w:rPr>
          <w:sz w:val="28"/>
          <w:szCs w:val="27"/>
        </w:rPr>
        <w:t xml:space="preserve">Р</w:t>
      </w:r>
      <w:r>
        <w:rPr>
          <w:sz w:val="28"/>
          <w:szCs w:val="27"/>
        </w:rPr>
        <w:t xml:space="preserve">оссийской Федерации;  собственники помещений в многоквартирном доме не направили в уполномоченный федеральный орган исполнительной власти документы, необходимые для государственной регистрации товарищества собственников жилья либо жилищного кооператива или</w:t>
      </w:r>
      <w:r>
        <w:rPr>
          <w:sz w:val="28"/>
          <w:szCs w:val="27"/>
        </w:rPr>
        <w:t xml:space="preserve"> иного специализированного потребительского кооператива;  не заключены договоры управления многоквартирным домом, предусмотренные статьей 162 Жилищного кодекса Российской Федерации;</w:t>
      </w:r>
      <w:r>
        <w:rPr>
          <w:sz w:val="28"/>
          <w:szCs w:val="27"/>
        </w:rPr>
      </w:r>
      <w:r>
        <w:rPr>
          <w:sz w:val="22"/>
        </w:rPr>
      </w:r>
    </w:p>
    <w:p>
      <w:pPr>
        <w:ind w:firstLine="709"/>
        <w:jc w:val="both"/>
        <w:rPr>
          <w:sz w:val="22"/>
        </w:rPr>
      </w:pPr>
      <w:r>
        <w:rPr>
          <w:sz w:val="28"/>
          <w:szCs w:val="27"/>
        </w:rPr>
        <w:t xml:space="preserve">З) до окончания срока действия договора управления многоквартирным домом, заключенного по результатам конкурса, не выбран способ управления этим домом или если принятое решение о выборе способа управления этим домом не было реализовано;</w:t>
      </w:r>
      <w:r>
        <w:rPr>
          <w:sz w:val="28"/>
          <w:szCs w:val="27"/>
        </w:rPr>
      </w:r>
      <w:r>
        <w:rPr>
          <w:sz w:val="22"/>
        </w:rPr>
      </w:r>
    </w:p>
    <w:p>
      <w:pPr>
        <w:ind w:firstLine="709"/>
        <w:jc w:val="both"/>
        <w:rPr>
          <w:sz w:val="22"/>
        </w:rPr>
      </w:pPr>
      <w:r>
        <w:rPr>
          <w:sz w:val="28"/>
          <w:szCs w:val="27"/>
        </w:rPr>
        <w:t xml:space="preserve">4) в установленном законодательством Российской Федерации о градостроительной деятельности порядке выдано разрешение на ввод в эксплуатацию многоквартирного дома.</w:t>
      </w:r>
      <w:r>
        <w:rPr>
          <w:sz w:val="28"/>
          <w:szCs w:val="27"/>
        </w:rPr>
      </w:r>
      <w:r>
        <w:rPr>
          <w:sz w:val="22"/>
        </w:rPr>
      </w:r>
    </w:p>
    <w:p>
      <w:pPr>
        <w:ind w:firstLine="709"/>
        <w:jc w:val="both"/>
        <w:rPr>
          <w:sz w:val="22"/>
        </w:rPr>
      </w:pPr>
      <w:r>
        <w:rPr>
          <w:sz w:val="28"/>
          <w:szCs w:val="27"/>
        </w:rPr>
        <w:t xml:space="preserve">Инспекцией в адрес администрации Панинского городского поселения Панинского муниципального района Воронежской области направлен запрос (от 02.04.2021 №1409-16) о предоставлении сведений, в том числе:</w:t>
      </w:r>
      <w:r>
        <w:rPr>
          <w:sz w:val="28"/>
          <w:szCs w:val="27"/>
        </w:rPr>
      </w:r>
      <w:r>
        <w:rPr>
          <w:sz w:val="22"/>
        </w:rPr>
      </w:r>
    </w:p>
    <w:p>
      <w:pPr>
        <w:ind w:firstLine="709"/>
        <w:jc w:val="both"/>
        <w:rPr>
          <w:sz w:val="22"/>
        </w:rPr>
      </w:pPr>
      <w:r>
        <w:rPr>
          <w:sz w:val="28"/>
          <w:szCs w:val="27"/>
        </w:rPr>
        <w:t xml:space="preserve">о перечне многоквартирных домов, собственниками помещений которых избран непосредственный способ управления многоквартирным домом;</w:t>
      </w:r>
      <w:r>
        <w:rPr>
          <w:sz w:val="28"/>
          <w:szCs w:val="27"/>
        </w:rPr>
      </w:r>
      <w:r>
        <w:rPr>
          <w:sz w:val="22"/>
        </w:rPr>
      </w:r>
    </w:p>
    <w:p>
      <w:pPr>
        <w:ind w:firstLine="709"/>
        <w:jc w:val="both"/>
        <w:rPr>
          <w:sz w:val="22"/>
        </w:rPr>
      </w:pPr>
      <w:r>
        <w:rPr>
          <w:sz w:val="28"/>
          <w:szCs w:val="27"/>
        </w:rPr>
        <w:t xml:space="preserve">сведения о заключении собственниками помещений многоквартирных домов с непосредственным способом управления договоров в порядке, установленным частью 1 статьи 164 Жилищного кодекса Российской Федерации;</w:t>
      </w:r>
      <w:r>
        <w:rPr>
          <w:sz w:val="28"/>
          <w:szCs w:val="27"/>
        </w:rPr>
      </w:r>
      <w:r>
        <w:rPr>
          <w:sz w:val="22"/>
        </w:rPr>
      </w:r>
    </w:p>
    <w:p>
      <w:pPr>
        <w:ind w:firstLine="709"/>
        <w:jc w:val="both"/>
        <w:rPr>
          <w:sz w:val="22"/>
        </w:rPr>
      </w:pPr>
      <w:r>
        <w:rPr>
          <w:sz w:val="28"/>
          <w:szCs w:val="27"/>
        </w:rPr>
        <w:t xml:space="preserve">З) сведения об объявлении органом местного самоуправления и проведении открытого конкурса по отбору управляющей организации для управления многоквартирными домами в период с января 2020 по февраль 2021 года (с приложением конкурсной документации).</w:t>
      </w:r>
      <w:r>
        <w:rPr>
          <w:sz w:val="28"/>
          <w:szCs w:val="27"/>
        </w:rPr>
      </w:r>
      <w:r>
        <w:rPr>
          <w:sz w:val="22"/>
        </w:rPr>
      </w:r>
    </w:p>
    <w:p>
      <w:pPr>
        <w:ind w:firstLine="709"/>
        <w:jc w:val="both"/>
        <w:rPr>
          <w:sz w:val="22"/>
        </w:rPr>
      </w:pPr>
      <w:r>
        <w:rPr>
          <w:sz w:val="28"/>
          <w:szCs w:val="27"/>
        </w:rPr>
        <w:t xml:space="preserve">С</w:t>
      </w:r>
      <w:r>
        <w:rPr>
          <w:sz w:val="28"/>
          <w:szCs w:val="27"/>
        </w:rPr>
        <w:t xml:space="preserve">огласно информации, представленной администрацией Панинского городского поселения Панинского муниципального района Воронежской области на запрос инспекции от 02.04.2021 N2 1409-16, ОТКРЫТЫЙ конкурс по отбору управляющей организации для управления многоквар</w:t>
      </w:r>
      <w:r>
        <w:rPr>
          <w:sz w:val="28"/>
          <w:szCs w:val="27"/>
        </w:rPr>
        <w:t xml:space="preserve">т</w:t>
      </w:r>
      <w:r>
        <w:rPr>
          <w:sz w:val="28"/>
          <w:szCs w:val="27"/>
        </w:rPr>
        <w:t xml:space="preserve">ирными домами в период с января 2020 по февраль 2021 года не проводился. Согласно сведениям ГИС ЖКХ, в Панинском городском поселении Панинского муниципального района Воронежской области многоквартирные дома, в которых собственниками не избран способ управл</w:t>
      </w:r>
      <w:r>
        <w:rPr>
          <w:sz w:val="28"/>
          <w:szCs w:val="27"/>
        </w:rPr>
        <w:t xml:space="preserve">ения, отсутствуют.</w:t>
      </w:r>
      <w:r>
        <w:rPr>
          <w:sz w:val="28"/>
          <w:szCs w:val="27"/>
        </w:rPr>
      </w:r>
      <w:r>
        <w:rPr>
          <w:sz w:val="22"/>
        </w:rPr>
      </w:r>
    </w:p>
    <w:p>
      <w:pPr>
        <w:ind w:firstLine="709"/>
        <w:jc w:val="both"/>
        <w:rPr>
          <w:sz w:val="22"/>
        </w:rPr>
      </w:pPr>
      <w:r>
        <w:rPr>
          <w:sz w:val="28"/>
          <w:szCs w:val="27"/>
        </w:rPr>
        <w:t xml:space="preserve">Н</w:t>
      </w:r>
      <w:r>
        <w:rPr>
          <w:sz w:val="28"/>
          <w:szCs w:val="27"/>
        </w:rPr>
        <w:t xml:space="preserve">а запрос инспекции от 02.04.2020 N2 1409-16 администрацией Панинского городского поселения Панинского муниципального района Воронежской области представлены сведения о многоквартирных домах, собственниками которых избран непосредственный способ управления </w:t>
      </w:r>
      <w:r>
        <w:rPr>
          <w:sz w:val="28"/>
          <w:szCs w:val="27"/>
        </w:rPr>
        <w:t xml:space="preserve">(ответ от 08.04.2021 м-15/342).</w:t>
      </w:r>
      <w:r>
        <w:rPr>
          <w:sz w:val="28"/>
          <w:szCs w:val="27"/>
        </w:rPr>
      </w:r>
      <w:r>
        <w:rPr>
          <w:sz w:val="22"/>
        </w:rPr>
      </w:r>
    </w:p>
    <w:p>
      <w:pPr>
        <w:ind w:firstLine="709"/>
        <w:jc w:val="both"/>
        <w:rPr>
          <w:sz w:val="22"/>
        </w:rPr>
      </w:pPr>
      <w:r>
        <w:rPr>
          <w:sz w:val="28"/>
          <w:szCs w:val="27"/>
        </w:rPr>
        <w:t xml:space="preserve">В</w:t>
      </w:r>
      <w:r>
        <w:rPr>
          <w:sz w:val="28"/>
          <w:szCs w:val="27"/>
        </w:rPr>
        <w:t xml:space="preserve"> ГИС ЖКХ размещены сведения о 38 (тридцати восьми) многоквартирных домах, по адресам Воронежская область, Панинский муниципальный район, р.п. Панино: ул. 9 Января, д.З9; ул. Советская, д.18; ул.)Келезнодорожная, дл; ул.Свободы, д.1Б; ул. 9 Января, д.ЗА; ул</w:t>
      </w:r>
      <w:r>
        <w:rPr>
          <w:sz w:val="28"/>
          <w:szCs w:val="27"/>
        </w:rPr>
        <w:t xml:space="preserve">.</w:t>
      </w:r>
      <w:r>
        <w:rPr>
          <w:sz w:val="28"/>
          <w:szCs w:val="27"/>
        </w:rPr>
        <w:t xml:space="preserve"> Железнодорожная, д.5; ул. Свободы, д. 1 А; ул. Советская, д.16; ул. Коммунальная, д. 12; ул. Красная Площадь, д.б; ул. Коммунальная, д.б; пер. Заводской, д.8; ул. Красная Площадь, д. 17; ул. Железнодорожная, д. 1; пер. Заводской, д.8А; ул. Железнодорожная</w:t>
      </w:r>
      <w:r>
        <w:rPr>
          <w:sz w:val="28"/>
          <w:szCs w:val="27"/>
        </w:rPr>
        <w:t xml:space="preserve">,</w:t>
      </w:r>
      <w:r>
        <w:rPr>
          <w:sz w:val="28"/>
          <w:szCs w:val="27"/>
        </w:rPr>
        <w:t xml:space="preserve"> д.5А; ул, Чапаева, дэ; ул. Чапаева, д.11; ул. 9 Января, д.96; ул. Коммунальная, д.8; ул. Красная Площадь, д. 13; ул, Чапаева, д. 18; ул. Чапаева, д.20; ул. Советская, д.22; Советская, д.28А; ул. Железнодорожная, д.7А; ул. Заводская, д.2; ул. Заводская, д.</w:t>
      </w:r>
      <w:r>
        <w:rPr>
          <w:sz w:val="28"/>
          <w:szCs w:val="27"/>
        </w:rPr>
        <w:t xml:space="preserve">5</w:t>
      </w:r>
      <w:r>
        <w:rPr>
          <w:sz w:val="28"/>
          <w:szCs w:val="27"/>
        </w:rPr>
        <w:t xml:space="preserve">; пер. Заводской, дл; ул. Заводская, д.2А; ул. 9 Января, д.89А; ул. Заводская, ДА; ул. Спортивная, д.8А; ул. Коммунальная, д.1О; ул. 9 Января, д. 102; ул. Железнодорожная, д.7Б; ул. Чапаева, д. 7; пер. Заводской, д.1А собственниками которых избран непосред</w:t>
      </w:r>
      <w:r>
        <w:rPr>
          <w:sz w:val="28"/>
          <w:szCs w:val="27"/>
        </w:rPr>
        <w:t xml:space="preserve">ственный способ управления.</w:t>
      </w:r>
      <w:r>
        <w:rPr>
          <w:sz w:val="28"/>
          <w:szCs w:val="27"/>
        </w:rPr>
      </w:r>
      <w:r>
        <w:rPr>
          <w:sz w:val="22"/>
        </w:rPr>
      </w:r>
    </w:p>
    <w:p>
      <w:pPr>
        <w:ind w:firstLine="709"/>
        <w:jc w:val="both"/>
        <w:rPr>
          <w:sz w:val="22"/>
        </w:rPr>
      </w:pPr>
      <w:r>
        <w:rPr>
          <w:sz w:val="28"/>
          <w:szCs w:val="27"/>
        </w:rPr>
        <w:t xml:space="preserve">Таким образом, сведения, размещенные в ГИС ЖКХ, соответствуют сведениям, представленным администрацией Панинского городского поселения Панинского муниципального района Воронежской области по запросу Инспекции.</w:t>
      </w:r>
      <w:r>
        <w:rPr>
          <w:sz w:val="28"/>
          <w:szCs w:val="27"/>
        </w:rPr>
      </w:r>
      <w:r>
        <w:rPr>
          <w:sz w:val="22"/>
        </w:rPr>
      </w:r>
    </w:p>
    <w:p>
      <w:pPr>
        <w:ind w:firstLine="709"/>
        <w:jc w:val="both"/>
        <w:rPr>
          <w:sz w:val="22"/>
        </w:rPr>
      </w:pPr>
      <w:r>
        <w:rPr>
          <w:sz w:val="28"/>
          <w:szCs w:val="27"/>
        </w:rPr>
        <w:t xml:space="preserve">А</w:t>
      </w:r>
      <w:r>
        <w:rPr>
          <w:sz w:val="28"/>
          <w:szCs w:val="27"/>
        </w:rPr>
        <w:t xml:space="preserve">дминистрацией Панинского городского поселения Панинского муниципального района Воронежской области сведения о заключении собственниками помещений многоквартирных домов с непосредственным способ управления договоров в порядке, установленном частью 1 статьи </w:t>
      </w:r>
      <w:r>
        <w:rPr>
          <w:sz w:val="28"/>
          <w:szCs w:val="27"/>
        </w:rPr>
        <w:t xml:space="preserve">1</w:t>
      </w:r>
      <w:r>
        <w:rPr>
          <w:sz w:val="28"/>
          <w:szCs w:val="27"/>
        </w:rPr>
        <w:t xml:space="preserve">64 Жилищного кодекса Российской Федерации не представлено. Из ответа администрации Панинского городского поселения Панинского муниципального района Воронежской области на запрос Инспекции следует, что сведения о заключении собственниками помещений многоква</w:t>
      </w:r>
      <w:r>
        <w:rPr>
          <w:sz w:val="28"/>
          <w:szCs w:val="27"/>
        </w:rPr>
        <w:t xml:space="preserve">р</w:t>
      </w:r>
      <w:r>
        <w:rPr>
          <w:sz w:val="28"/>
          <w:szCs w:val="27"/>
        </w:rPr>
        <w:t xml:space="preserve">тирных домов с непосредственным способом управления договоров в порядке установленном частью 1 статьи 164 Жилищного кодекса Российской Федерации - договоры горячего водоснабжения холодного водоснабжения, водоотведения, электроснабжения, газоснабжения, отоп</w:t>
      </w:r>
      <w:r>
        <w:rPr>
          <w:sz w:val="28"/>
          <w:szCs w:val="27"/>
        </w:rPr>
        <w:t xml:space="preserve">ления заключаются каждым собственником помещения, осуществляющим непосредственное управление многоквартирным домом, от своего имени и находятся у собственников.</w:t>
      </w:r>
      <w:r>
        <w:rPr>
          <w:sz w:val="28"/>
          <w:szCs w:val="27"/>
        </w:rPr>
      </w:r>
      <w:r>
        <w:rPr>
          <w:sz w:val="22"/>
        </w:rPr>
      </w:r>
    </w:p>
    <w:p>
      <w:pPr>
        <w:ind w:firstLine="709"/>
        <w:jc w:val="both"/>
        <w:rPr>
          <w:sz w:val="22"/>
        </w:rPr>
      </w:pPr>
      <w:r>
        <w:rPr>
          <w:sz w:val="28"/>
          <w:szCs w:val="27"/>
        </w:rPr>
        <w:t xml:space="preserve">О</w:t>
      </w:r>
      <w:r>
        <w:rPr>
          <w:sz w:val="28"/>
          <w:szCs w:val="27"/>
        </w:rPr>
        <w:t xml:space="preserve">снований полагать о том, что принятые собственниками помещений в многоквартирных домах, расположенных по адресам Воронежская область, Панинский муниципальный район, р.п. Панино: ул. 9 Января, д.З9; 5 ул. Советская, д. 18; ул.Железнодорожная, д.7; ул.Свобод</w:t>
      </w:r>
      <w:r>
        <w:rPr>
          <w:sz w:val="28"/>
          <w:szCs w:val="27"/>
        </w:rPr>
        <w:t xml:space="preserve">ы</w:t>
      </w:r>
      <w:r>
        <w:rPr>
          <w:sz w:val="28"/>
          <w:szCs w:val="27"/>
        </w:rPr>
        <w:t xml:space="preserve">, д. 1 Б; ул. 9 Января, д.ЗА; ул. Железнодорожная, д.5; ул. Свободы, д.1А; ул. Советская, д. 16; ул. Коммунальная, д.12; ул. Красная Площадь, д.б; ул. Коммунальная, д.б; пер. Заводской, д.8; ул. Красная Площадь, д.17; ул. Железнодорожная, дл; пер. Заводско</w:t>
      </w:r>
      <w:r>
        <w:rPr>
          <w:sz w:val="28"/>
          <w:szCs w:val="27"/>
        </w:rPr>
        <w:t xml:space="preserve">й</w:t>
      </w:r>
      <w:r>
        <w:rPr>
          <w:sz w:val="28"/>
          <w:szCs w:val="27"/>
        </w:rPr>
        <w:t xml:space="preserve">, д.8А; ул. Железнодорожная, д.5А; ул. Чапаева, д.9; ул. Чапаева, д.11; ул. 9 Января, д.96; ул. Коммунальная, д.8; ул. Красная Площадь, д.1З; ул. Чапаева, д. 18; ул. Чапаева, д.20; ул. Советская, д.22; Советская, д.28А; ул. Железнодорожная, д.7А; ул. Завод</w:t>
      </w:r>
      <w:r>
        <w:rPr>
          <w:sz w:val="28"/>
          <w:szCs w:val="27"/>
        </w:rPr>
        <w:t xml:space="preserve">с</w:t>
      </w:r>
      <w:r>
        <w:rPr>
          <w:sz w:val="28"/>
          <w:szCs w:val="27"/>
        </w:rPr>
        <w:t xml:space="preserve">кая, д.2; ул. Заводская, д.5; пер. Заводской, дл; ул. Заводская, д.2А; ул. 9 Января, д.89А; ул. Заводская, ДА; ул. Спортивная, д.8А; ул. Коммунальная, д.10; ул. 9 Января, д. 102; ул. Железнодорожная, д.7Б; ул. Чапаева, дл; пер. Заводской, д. 1 А решения о </w:t>
      </w:r>
      <w:r>
        <w:rPr>
          <w:sz w:val="28"/>
          <w:szCs w:val="27"/>
        </w:rPr>
        <w:t xml:space="preserve">выборе непосредственного способа управления не реализованы не имеется.</w:t>
      </w:r>
      <w:r>
        <w:rPr>
          <w:sz w:val="28"/>
          <w:szCs w:val="27"/>
        </w:rPr>
      </w:r>
      <w:r>
        <w:rPr>
          <w:sz w:val="22"/>
        </w:rPr>
      </w:r>
    </w:p>
    <w:p>
      <w:pPr>
        <w:ind w:firstLine="709"/>
        <w:jc w:val="both"/>
        <w:rPr>
          <w:sz w:val="22"/>
        </w:rPr>
      </w:pPr>
      <w:r>
        <w:rPr>
          <w:sz w:val="28"/>
          <w:szCs w:val="27"/>
        </w:rPr>
        <w:t xml:space="preserve">П</w:t>
      </w:r>
      <w:r>
        <w:rPr>
          <w:sz w:val="28"/>
          <w:szCs w:val="27"/>
        </w:rPr>
        <w:t xml:space="preserve">о результатам проверки нарушений администрацией Панинского городского поселения Панинского муниципального района Воронежской области требований части 4 статьи 161 Жилищного кодекса Российской Федерации, в части неисполнения обязанности по организации и про</w:t>
      </w:r>
      <w:r>
        <w:rPr>
          <w:sz w:val="28"/>
          <w:szCs w:val="27"/>
        </w:rPr>
        <w:t xml:space="preserve">ведению открытого конкурса по отбору управляющих организаций для управления многоквартирными домами, не установлено.</w:t>
      </w:r>
      <w:r>
        <w:rPr>
          <w:sz w:val="28"/>
          <w:szCs w:val="27"/>
        </w:rPr>
      </w:r>
      <w:r>
        <w:rPr>
          <w:sz w:val="22"/>
        </w:rPr>
      </w:r>
    </w:p>
    <w:p>
      <w:pPr>
        <w:ind w:firstLine="709"/>
        <w:jc w:val="both"/>
        <w:rPr>
          <w:sz w:val="22"/>
        </w:rPr>
      </w:pPr>
      <w:r>
        <w:rPr>
          <w:sz w:val="28"/>
          <w:szCs w:val="27"/>
        </w:rPr>
        <w:t xml:space="preserve">С</w:t>
      </w:r>
      <w:r>
        <w:rPr>
          <w:sz w:val="28"/>
          <w:szCs w:val="27"/>
        </w:rPr>
        <w:t xml:space="preserve">ведения о принятых решениях о переводе жилых помещений в нежилые и нежилые помещения в жилые, в том числе об их количестве за 2020 год с подтверждающими копиями документов (заявление о переводе помещения; решение о переводе или об отказе в переводе помещен</w:t>
      </w:r>
      <w:r>
        <w:rPr>
          <w:sz w:val="28"/>
          <w:szCs w:val="27"/>
        </w:rPr>
        <w:t xml:space="preserve">ия; акт приемочной комиссии) — в 2020 г. решения о переводе жилых помещений в нежилые и нежилые помещения в жилые не принимались.</w:t>
      </w:r>
      <w:r>
        <w:rPr>
          <w:sz w:val="28"/>
          <w:szCs w:val="27"/>
        </w:rPr>
      </w:r>
      <w:r>
        <w:rPr>
          <w:sz w:val="22"/>
        </w:rPr>
      </w:r>
    </w:p>
    <w:p>
      <w:pPr>
        <w:ind w:firstLine="709"/>
        <w:jc w:val="both"/>
        <w:rPr>
          <w:sz w:val="22"/>
        </w:rPr>
      </w:pPr>
      <w:r>
        <w:rPr>
          <w:sz w:val="28"/>
          <w:szCs w:val="27"/>
        </w:rPr>
        <w:t xml:space="preserve">С</w:t>
      </w:r>
      <w:r>
        <w:rPr>
          <w:sz w:val="28"/>
          <w:szCs w:val="27"/>
        </w:rPr>
        <w:t xml:space="preserve">ведения о согласовании переустройства и перепланировки жилых помещений за 2020 год, с копиями документов, подтверждающих согласование или отказ в согласовании (заявление; решение о согласовании или об отказе; акт приемочной комиссии) — в 2020 заявлений о п</w:t>
      </w:r>
      <w:r>
        <w:rPr>
          <w:sz w:val="28"/>
          <w:szCs w:val="27"/>
        </w:rPr>
        <w:t xml:space="preserve">ереустройстве и перепланировки от собственников жилых помещений в многоквартирных домах не поступало.</w:t>
      </w:r>
      <w:r>
        <w:rPr>
          <w:sz w:val="28"/>
          <w:szCs w:val="27"/>
        </w:rPr>
      </w:r>
      <w:r>
        <w:rPr>
          <w:sz w:val="22"/>
        </w:rPr>
      </w:r>
    </w:p>
    <w:p>
      <w:pPr>
        <w:ind w:firstLine="709"/>
        <w:jc w:val="both"/>
        <w:rPr>
          <w:sz w:val="22"/>
        </w:rPr>
      </w:pPr>
      <w:r>
        <w:rPr>
          <w:sz w:val="28"/>
          <w:szCs w:val="27"/>
        </w:rPr>
        <w:t xml:space="preserve">С</w:t>
      </w:r>
      <w:r>
        <w:rPr>
          <w:sz w:val="28"/>
          <w:szCs w:val="27"/>
        </w:rPr>
        <w:t xml:space="preserve">ведения о создании комиссии для оценки и обследования жилого помещения в целях признания его жилым, жилого помещения пригодным (непригодным) для проживания граждан, а также многоквартирного дома• в целях признания его аварийным и подлежащим сносу или рекон</w:t>
      </w:r>
      <w:r>
        <w:rPr>
          <w:sz w:val="28"/>
          <w:szCs w:val="27"/>
        </w:rPr>
        <w:t xml:space="preserve">ст</w:t>
      </w:r>
      <w:r>
        <w:rPr>
          <w:sz w:val="28"/>
          <w:szCs w:val="27"/>
        </w:rPr>
        <w:t xml:space="preserve">рукции (в порядке, определенном п. 7 постановления Правительства РФ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</w:t>
      </w:r>
      <w:r>
        <w:rPr>
          <w:sz w:val="28"/>
          <w:szCs w:val="27"/>
        </w:rPr>
        <w:t xml:space="preserve">к</w:t>
      </w:r>
      <w:r>
        <w:rPr>
          <w:sz w:val="28"/>
          <w:szCs w:val="27"/>
        </w:rPr>
        <w:t xml:space="preserve">онструкции»), в том числе копию правового акта, устанавливающего полномочия и состав комиссии; в случае принятия за 2020 год решений о признании помещения жилым помещением, жилого помещения непригодным для проживания, многоквартирного дома аварийным и подл</w:t>
      </w:r>
      <w:r>
        <w:rPr>
          <w:sz w:val="28"/>
          <w:szCs w:val="27"/>
        </w:rPr>
        <w:t xml:space="preserve">ежащим сносу или реконструкции представить копии решений комиссии изменения в состав комиссии внесены распоряжением 06.04.2021 № 23 ОД.</w:t>
      </w:r>
      <w:r>
        <w:rPr>
          <w:sz w:val="28"/>
          <w:szCs w:val="27"/>
        </w:rPr>
      </w:r>
      <w:r>
        <w:rPr>
          <w:sz w:val="22"/>
        </w:rPr>
      </w:r>
    </w:p>
    <w:p>
      <w:pPr>
        <w:ind w:firstLine="709"/>
        <w:jc w:val="both"/>
        <w:rPr>
          <w:sz w:val="22"/>
        </w:rPr>
      </w:pPr>
      <w:r>
        <w:rPr>
          <w:sz w:val="28"/>
          <w:szCs w:val="27"/>
        </w:rPr>
        <w:t xml:space="preserve">План по энергосбережению на 2021 год, в том числе информацию о наличии ОДПУ тепла и ГВС- отсутствует в связи с непосредственным способом управления многоквартирных домов.</w:t>
      </w:r>
      <w:r>
        <w:rPr>
          <w:sz w:val="28"/>
          <w:szCs w:val="27"/>
        </w:rPr>
      </w:r>
      <w:r>
        <w:rPr>
          <w:sz w:val="22"/>
        </w:rPr>
      </w:r>
    </w:p>
    <w:p>
      <w:pPr>
        <w:ind w:firstLine="709"/>
        <w:jc w:val="both"/>
        <w:rPr>
          <w:sz w:val="22"/>
        </w:rPr>
      </w:pPr>
      <w:r>
        <w:rPr>
          <w:sz w:val="28"/>
          <w:szCs w:val="27"/>
        </w:rPr>
        <w:t xml:space="preserve">Информация о подготовке жилищного фонда к эксплуатации в зимний период и отчет о их выполнении — жилищный фонд у администрации Панинского городского поселения отсутствует.</w:t>
      </w:r>
      <w:r>
        <w:rPr>
          <w:sz w:val="28"/>
          <w:szCs w:val="27"/>
        </w:rPr>
      </w:r>
      <w:r>
        <w:rPr>
          <w:sz w:val="22"/>
        </w:rPr>
      </w:r>
    </w:p>
    <w:p>
      <w:pPr>
        <w:ind w:firstLine="709"/>
        <w:jc w:val="both"/>
        <w:rPr>
          <w:sz w:val="22"/>
        </w:rPr>
      </w:pPr>
      <w:r>
        <w:rPr>
          <w:sz w:val="28"/>
          <w:szCs w:val="27"/>
        </w:rPr>
        <w:t xml:space="preserve">П</w:t>
      </w:r>
      <w:r>
        <w:rPr>
          <w:sz w:val="28"/>
          <w:szCs w:val="27"/>
        </w:rPr>
        <w:t xml:space="preserve">редоставить имеющуюся информацию о согласовании размещения места (площадки) накопления твердых коммунальных отходов по всем многоквартирным домам, в том числе в частном секторе, о формировании и ведении реестра мест (площадок) накопления твердых коммунальн</w:t>
      </w:r>
      <w:r>
        <w:rPr>
          <w:sz w:val="28"/>
          <w:szCs w:val="27"/>
        </w:rPr>
        <w:t xml:space="preserve">ых отходов - Приложение 2.</w:t>
      </w:r>
      <w:r>
        <w:rPr>
          <w:sz w:val="28"/>
          <w:szCs w:val="27"/>
        </w:rPr>
      </w:r>
      <w:r>
        <w:rPr>
          <w:sz w:val="22"/>
        </w:rPr>
      </w:r>
    </w:p>
    <w:p>
      <w:pPr>
        <w:ind w:firstLine="709"/>
        <w:jc w:val="both"/>
        <w:rPr>
          <w:sz w:val="22"/>
        </w:rPr>
      </w:pPr>
      <w:r>
        <w:rPr>
          <w:sz w:val="28"/>
          <w:szCs w:val="27"/>
        </w:rPr>
        <w:t xml:space="preserve">П</w:t>
      </w:r>
      <w:r>
        <w:rPr>
          <w:sz w:val="28"/>
          <w:szCs w:val="27"/>
        </w:rPr>
        <w:t xml:space="preserve">еречень многоквартирных домов, с непосредственным способом управления, собственники которых заключили договор на техническое обслуживание дымовых и вентиляционных каналов со специализированной организацией (специалистом) собственники многоквартирных домов,</w:t>
      </w:r>
      <w:r>
        <w:rPr>
          <w:sz w:val="28"/>
          <w:szCs w:val="27"/>
        </w:rPr>
        <w:t xml:space="preserve"> с непосредственным способом управления, договора на техническое обслуживание дымовых и вентиляционных каналов со специализированной организацией (специалистом) не заключали.</w:t>
      </w:r>
      <w:r>
        <w:rPr>
          <w:sz w:val="28"/>
          <w:szCs w:val="27"/>
        </w:rPr>
      </w:r>
      <w:r>
        <w:rPr>
          <w:sz w:val="22"/>
        </w:rPr>
      </w:r>
    </w:p>
    <w:p>
      <w:pPr>
        <w:ind w:firstLine="709"/>
        <w:jc w:val="both"/>
        <w:rPr>
          <w:sz w:val="22"/>
        </w:rPr>
      </w:pPr>
      <w:r>
        <w:rPr>
          <w:sz w:val="28"/>
          <w:szCs w:val="27"/>
        </w:rPr>
        <w:t xml:space="preserve">И</w:t>
      </w:r>
      <w:r>
        <w:rPr>
          <w:sz w:val="28"/>
          <w:szCs w:val="27"/>
        </w:rPr>
        <w:t xml:space="preserve">нформацию о многоквартирных домах с непосредственным способом управления, собственники которых не заключили договор на техническое обслуживание дымовых и вентиляционных каналов со специализированной организацией (специалистом) и принятых органом местного с</w:t>
      </w:r>
      <w:r>
        <w:rPr>
          <w:sz w:val="28"/>
          <w:szCs w:val="27"/>
        </w:rPr>
        <w:t xml:space="preserve">амоуправления мерах в целях обеспечения безопасности граждан 38 многоквартирных домов с непосредственным способом управления, собственники которых не заключили договор.</w:t>
      </w:r>
      <w:r>
        <w:rPr>
          <w:sz w:val="28"/>
          <w:szCs w:val="27"/>
        </w:rPr>
      </w:r>
      <w:r>
        <w:rPr>
          <w:sz w:val="22"/>
        </w:rPr>
      </w:r>
    </w:p>
    <w:p>
      <w:pPr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В соответствии с </w:t>
      </w:r>
      <w:r>
        <w:rPr>
          <w:sz w:val="28"/>
          <w:szCs w:val="27"/>
        </w:rPr>
        <w:t xml:space="preserve">частью 2.7 статьи 77 Федерального закона от 06.10.2003 № 131-ФЗ «Об общих принципах организации местного самоуправления в Российской Федерации» информация о результатах проведенной проверки деятельности органов местного самоуправления и должностных лиц мес</w:t>
      </w:r>
      <w:r>
        <w:rPr>
          <w:sz w:val="28"/>
          <w:szCs w:val="27"/>
        </w:rPr>
        <w:t xml:space="preserve">тного самоуправления, в том числе о выявленных нарушениях и предписаниях об их устранении с указанием сроков устранения, в течение одного месяца после завершения проверки подлежит размещению на официальном сайте соответствующего органа государственного кон</w:t>
      </w:r>
      <w:r>
        <w:rPr>
          <w:sz w:val="28"/>
          <w:szCs w:val="27"/>
        </w:rPr>
        <w:t xml:space="preserve">троля (надзора) в информационно-телекоммуникационной сети «Интернет».</w:t>
      </w:r>
      <w:r>
        <w:rPr>
          <w:sz w:val="22"/>
        </w:rPr>
      </w:r>
    </w:p>
    <w:p>
      <w:pPr>
        <w:jc w:val="both"/>
        <w:rPr>
          <w:sz w:val="28"/>
          <w:szCs w:val="27"/>
        </w:rPr>
      </w:pPr>
      <w:r>
        <w:rPr>
          <w:sz w:val="22"/>
        </w:rPr>
      </w:r>
      <w:bookmarkStart w:id="0" w:name="_GoBack"/>
      <w:r>
        <w:rPr>
          <w:sz w:val="22"/>
        </w:rPr>
      </w:r>
      <w:bookmarkEnd w:id="0"/>
      <w:r>
        <w:rPr>
          <w:sz w:val="22"/>
        </w:rPr>
      </w:r>
      <w:r>
        <w:rPr>
          <w:sz w:val="22"/>
        </w:rPr>
      </w:r>
    </w:p>
    <w:sectPr>
      <w:footnotePr/>
      <w:type w:val="nextPage"/>
      <w:pgSz w:w="11906" w:h="16838" w:orient="portrait"/>
      <w:pgMar w:top="709" w:right="624" w:bottom="709" w:left="1871" w:header="709" w:footer="709"/>
      <w:cols w:num="1" w:sep="0" w:space="708" w:equalWidth="1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6030504020204"/>
  </w:font>
  <w:font w:name="schoolbook">
    <w:panose1 w:val="020B0600000000000000"/>
  </w:font>
  <w:font w:name="Verdana">
    <w:panose1 w:val="020B0606030504020204"/>
  </w:font>
  <w:font w:name="Calibri">
    <w:panose1 w:val="020F0502020204030204"/>
  </w:font>
  <w:font w:name="Arial">
    <w:panose1 w:val="020B0604020202020204"/>
  </w:font>
  <w:font w:name="Arial Unicode MS">
    <w:panose1 w:val="020B0503020203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68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b w:val="false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68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83" w:hanging="97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1068" w:hanging="360"/>
      </w:pPr>
      <w:rPr>
        <w:rFonts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2" w:hanging="360"/>
      </w:pPr>
      <w:rPr>
        <w:b w:val="false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683" w:hanging="975"/>
      </w:pPr>
      <w:rPr>
        <w:rFonts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left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left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left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left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left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left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left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left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left" w:pos="6480" w:leader="none"/>
        </w:tabs>
      </w:pPr>
      <w:rPr>
        <w:rFonts w:ascii="Wingdings" w:hAnsi="Wingdings"/>
        <w:sz w:val="20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left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left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left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left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left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left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left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left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left" w:pos="6480" w:leader="none"/>
        </w:tabs>
      </w:pPr>
      <w:rPr>
        <w:rFonts w:ascii="Wingdings" w:hAnsi="Wingdings"/>
        <w:sz w:val="20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9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1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3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5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7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9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1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3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52" w:hanging="180"/>
      </w:pPr>
    </w:lvl>
  </w:abstractNum>
  <w:num w:numId="1">
    <w:abstractNumId w:val="15"/>
  </w:num>
  <w:num w:numId="2">
    <w:abstractNumId w:val="11"/>
  </w:num>
  <w:num w:numId="3">
    <w:abstractNumId w:val="24"/>
  </w:num>
  <w:num w:numId="4">
    <w:abstractNumId w:val="7"/>
  </w:num>
  <w:num w:numId="5">
    <w:abstractNumId w:val="26"/>
  </w:num>
  <w:num w:numId="6">
    <w:abstractNumId w:val="25"/>
  </w:num>
  <w:num w:numId="7">
    <w:abstractNumId w:val="6"/>
  </w:num>
  <w:num w:numId="8">
    <w:abstractNumId w:val="1"/>
  </w:num>
  <w:num w:numId="9">
    <w:abstractNumId w:val="9"/>
  </w:num>
  <w:num w:numId="10">
    <w:abstractNumId w:val="28"/>
  </w:num>
  <w:num w:numId="11">
    <w:abstractNumId w:val="22"/>
  </w:num>
  <w:num w:numId="12">
    <w:abstractNumId w:val="12"/>
  </w:num>
  <w:num w:numId="13">
    <w:abstractNumId w:val="17"/>
  </w:num>
  <w:num w:numId="14">
    <w:abstractNumId w:val="23"/>
  </w:num>
  <w:num w:numId="15">
    <w:abstractNumId w:val="2"/>
  </w:num>
  <w:num w:numId="16">
    <w:abstractNumId w:val="18"/>
  </w:num>
  <w:num w:numId="17">
    <w:abstractNumId w:val="8"/>
  </w:num>
  <w:num w:numId="18">
    <w:abstractNumId w:val="0"/>
  </w:num>
  <w:num w:numId="19">
    <w:abstractNumId w:val="4"/>
  </w:num>
  <w:num w:numId="20">
    <w:abstractNumId w:val="27"/>
  </w:num>
  <w:num w:numId="21">
    <w:abstractNumId w:val="10"/>
  </w:num>
  <w:num w:numId="22">
    <w:abstractNumId w:val="16"/>
  </w:num>
  <w:num w:numId="23">
    <w:abstractNumId w:val="13"/>
  </w:num>
  <w:num w:numId="24">
    <w:abstractNumId w:val="5"/>
  </w:num>
  <w:num w:numId="25">
    <w:abstractNumId w:val="3"/>
  </w:num>
  <w:num w:numId="26">
    <w:abstractNumId w:val="21"/>
  </w:num>
  <w:num w:numId="27">
    <w:abstractNumId w:val="19"/>
  </w:num>
  <w:num w:numId="28">
    <w:abstractNumId w:val="20"/>
  </w:num>
  <w:num w:numId="29">
    <w:abstractNumId w:val="14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false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 w:hint="default"/>
        <w:color w:val="auto"/>
        <w:spacing w:val="0"/>
        <w:position w:val="0"/>
        <w:sz w:val="20"/>
        <w:szCs w:val="22"/>
        <w:lang w:val="ru-RU" w:bidi="ar-SA" w:eastAsia="zh-CN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44">
    <w:name w:val="Heading 1 Char"/>
    <w:basedOn w:val="467"/>
    <w:link w:val="458"/>
    <w:uiPriority w:val="9"/>
    <w:rPr>
      <w:rFonts w:ascii="Arial" w:hAnsi="Arial" w:cs="Arial" w:eastAsia="Arial"/>
      <w:sz w:val="40"/>
      <w:szCs w:val="40"/>
    </w:rPr>
  </w:style>
  <w:style w:type="character" w:styleId="445">
    <w:name w:val="Heading 2 Char"/>
    <w:basedOn w:val="467"/>
    <w:link w:val="459"/>
    <w:uiPriority w:val="9"/>
    <w:rPr>
      <w:rFonts w:ascii="Arial" w:hAnsi="Arial" w:cs="Arial" w:eastAsia="Arial"/>
      <w:sz w:val="34"/>
    </w:rPr>
  </w:style>
  <w:style w:type="character" w:styleId="446">
    <w:name w:val="Heading 3 Char"/>
    <w:basedOn w:val="467"/>
    <w:link w:val="460"/>
    <w:uiPriority w:val="9"/>
    <w:rPr>
      <w:rFonts w:ascii="Arial" w:hAnsi="Arial" w:cs="Arial" w:eastAsia="Arial"/>
      <w:sz w:val="30"/>
      <w:szCs w:val="30"/>
    </w:rPr>
  </w:style>
  <w:style w:type="character" w:styleId="447">
    <w:name w:val="Heading 4 Char"/>
    <w:basedOn w:val="467"/>
    <w:link w:val="461"/>
    <w:uiPriority w:val="9"/>
    <w:rPr>
      <w:rFonts w:ascii="Arial" w:hAnsi="Arial" w:cs="Arial" w:eastAsia="Arial"/>
      <w:b/>
      <w:bCs/>
      <w:sz w:val="26"/>
      <w:szCs w:val="26"/>
    </w:rPr>
  </w:style>
  <w:style w:type="character" w:styleId="448">
    <w:name w:val="Heading 5 Char"/>
    <w:basedOn w:val="467"/>
    <w:link w:val="462"/>
    <w:uiPriority w:val="9"/>
    <w:rPr>
      <w:rFonts w:ascii="Arial" w:hAnsi="Arial" w:cs="Arial" w:eastAsia="Arial"/>
      <w:b/>
      <w:bCs/>
      <w:sz w:val="24"/>
      <w:szCs w:val="24"/>
    </w:rPr>
  </w:style>
  <w:style w:type="character" w:styleId="449">
    <w:name w:val="Heading 6 Char"/>
    <w:basedOn w:val="467"/>
    <w:link w:val="463"/>
    <w:uiPriority w:val="9"/>
    <w:rPr>
      <w:rFonts w:ascii="Arial" w:hAnsi="Arial" w:cs="Arial" w:eastAsia="Arial"/>
      <w:b/>
      <w:bCs/>
      <w:sz w:val="22"/>
      <w:szCs w:val="22"/>
    </w:rPr>
  </w:style>
  <w:style w:type="character" w:styleId="450">
    <w:name w:val="Heading 7 Char"/>
    <w:basedOn w:val="467"/>
    <w:link w:val="46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451">
    <w:name w:val="Heading 9 Char"/>
    <w:basedOn w:val="467"/>
    <w:link w:val="466"/>
    <w:uiPriority w:val="9"/>
    <w:rPr>
      <w:rFonts w:ascii="Arial" w:hAnsi="Arial" w:cs="Arial" w:eastAsia="Arial"/>
      <w:i/>
      <w:iCs/>
      <w:sz w:val="21"/>
      <w:szCs w:val="21"/>
    </w:rPr>
  </w:style>
  <w:style w:type="character" w:styleId="452">
    <w:name w:val="Title Char"/>
    <w:basedOn w:val="467"/>
    <w:link w:val="481"/>
    <w:uiPriority w:val="10"/>
    <w:rPr>
      <w:sz w:val="48"/>
      <w:szCs w:val="48"/>
    </w:rPr>
  </w:style>
  <w:style w:type="character" w:styleId="453">
    <w:name w:val="Subtitle Char"/>
    <w:basedOn w:val="467"/>
    <w:link w:val="483"/>
    <w:uiPriority w:val="11"/>
    <w:rPr>
      <w:sz w:val="24"/>
      <w:szCs w:val="24"/>
    </w:rPr>
  </w:style>
  <w:style w:type="character" w:styleId="454">
    <w:name w:val="Quote Char"/>
    <w:link w:val="485"/>
    <w:uiPriority w:val="29"/>
    <w:rPr>
      <w:i/>
    </w:rPr>
  </w:style>
  <w:style w:type="character" w:styleId="455">
    <w:name w:val="Intense Quote Char"/>
    <w:link w:val="487"/>
    <w:uiPriority w:val="30"/>
    <w:rPr>
      <w:i/>
    </w:rPr>
  </w:style>
  <w:style w:type="character" w:styleId="456">
    <w:name w:val="Footnote Text Char"/>
    <w:link w:val="622"/>
    <w:uiPriority w:val="99"/>
    <w:rPr>
      <w:sz w:val="18"/>
    </w:rPr>
  </w:style>
  <w:style w:type="paragraph" w:styleId="457" w:default="1">
    <w:name w:val="Normal"/>
    <w:qFormat/>
  </w:style>
  <w:style w:type="paragraph" w:styleId="458">
    <w:name w:val="Heading 1"/>
    <w:link w:val="470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459">
    <w:name w:val="Heading 2"/>
    <w:link w:val="471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460">
    <w:name w:val="Heading 3"/>
    <w:basedOn w:val="457"/>
    <w:next w:val="457"/>
    <w:link w:val="472"/>
    <w:rPr>
      <w:rFonts w:eastAsia="Arial Unicode MS"/>
      <w:b/>
      <w:bCs/>
      <w:i/>
      <w:iCs/>
      <w:sz w:val="24"/>
      <w:szCs w:val="24"/>
    </w:rPr>
    <w:pPr>
      <w:keepNext/>
      <w:outlineLvl w:val="2"/>
    </w:pPr>
  </w:style>
  <w:style w:type="paragraph" w:styleId="461">
    <w:name w:val="Heading 4"/>
    <w:link w:val="473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462">
    <w:name w:val="Heading 5"/>
    <w:link w:val="474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463">
    <w:name w:val="Heading 6"/>
    <w:link w:val="475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464">
    <w:name w:val="Heading 7"/>
    <w:link w:val="476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465">
    <w:name w:val="Heading 8"/>
    <w:basedOn w:val="457"/>
    <w:next w:val="457"/>
    <w:link w:val="639"/>
    <w:rPr>
      <w:rFonts w:ascii="Calibri" w:hAnsi="Calibri"/>
      <w:i/>
      <w:iCs/>
      <w:sz w:val="24"/>
      <w:szCs w:val="24"/>
      <w:lang w:val="en-US" w:eastAsia="en-US"/>
    </w:rPr>
    <w:pPr>
      <w:spacing w:after="60" w:before="240"/>
      <w:outlineLvl w:val="7"/>
    </w:pPr>
  </w:style>
  <w:style w:type="paragraph" w:styleId="466">
    <w:name w:val="Heading 9"/>
    <w:link w:val="47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67" w:default="1">
    <w:name w:val="Default Paragraph Font"/>
    <w:uiPriority w:val="1"/>
    <w:semiHidden/>
    <w:unhideWhenUsed/>
  </w:style>
  <w:style w:type="table" w:styleId="46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469" w:default="1">
    <w:name w:val="No List"/>
    <w:uiPriority w:val="99"/>
    <w:semiHidden/>
    <w:unhideWhenUsed/>
  </w:style>
  <w:style w:type="character" w:styleId="470" w:customStyle="1">
    <w:name w:val="Заголовок 1 Знак"/>
    <w:link w:val="458"/>
    <w:uiPriority w:val="9"/>
    <w:rPr>
      <w:rFonts w:ascii="Arial" w:hAnsi="Arial" w:cs="Arial" w:eastAsia="Arial"/>
      <w:sz w:val="40"/>
      <w:szCs w:val="40"/>
    </w:rPr>
  </w:style>
  <w:style w:type="character" w:styleId="471" w:customStyle="1">
    <w:name w:val="Заголовок 2 Знак"/>
    <w:link w:val="459"/>
    <w:uiPriority w:val="9"/>
    <w:rPr>
      <w:rFonts w:ascii="Arial" w:hAnsi="Arial" w:cs="Arial" w:eastAsia="Arial"/>
      <w:sz w:val="34"/>
    </w:rPr>
  </w:style>
  <w:style w:type="character" w:styleId="472" w:customStyle="1">
    <w:name w:val="Заголовок 3 Знак"/>
    <w:link w:val="460"/>
    <w:uiPriority w:val="9"/>
    <w:rPr>
      <w:rFonts w:ascii="Arial" w:hAnsi="Arial" w:cs="Arial" w:eastAsia="Arial"/>
      <w:sz w:val="30"/>
      <w:szCs w:val="30"/>
    </w:rPr>
  </w:style>
  <w:style w:type="character" w:styleId="473" w:customStyle="1">
    <w:name w:val="Заголовок 4 Знак"/>
    <w:link w:val="461"/>
    <w:uiPriority w:val="9"/>
    <w:rPr>
      <w:rFonts w:ascii="Arial" w:hAnsi="Arial" w:cs="Arial" w:eastAsia="Arial"/>
      <w:b/>
      <w:bCs/>
      <w:sz w:val="26"/>
      <w:szCs w:val="26"/>
    </w:rPr>
  </w:style>
  <w:style w:type="character" w:styleId="474" w:customStyle="1">
    <w:name w:val="Заголовок 5 Знак"/>
    <w:link w:val="462"/>
    <w:uiPriority w:val="9"/>
    <w:rPr>
      <w:rFonts w:ascii="Arial" w:hAnsi="Arial" w:cs="Arial" w:eastAsia="Arial"/>
      <w:b/>
      <w:bCs/>
      <w:sz w:val="24"/>
      <w:szCs w:val="24"/>
    </w:rPr>
  </w:style>
  <w:style w:type="character" w:styleId="475" w:customStyle="1">
    <w:name w:val="Заголовок 6 Знак"/>
    <w:link w:val="463"/>
    <w:uiPriority w:val="9"/>
    <w:rPr>
      <w:rFonts w:ascii="Arial" w:hAnsi="Arial" w:cs="Arial" w:eastAsia="Arial"/>
      <w:b/>
      <w:bCs/>
      <w:sz w:val="22"/>
      <w:szCs w:val="22"/>
    </w:rPr>
  </w:style>
  <w:style w:type="character" w:styleId="476" w:customStyle="1">
    <w:name w:val="Заголовок 7 Знак"/>
    <w:link w:val="46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477" w:customStyle="1">
    <w:name w:val="Heading 8 Char"/>
    <w:uiPriority w:val="9"/>
    <w:rPr>
      <w:rFonts w:ascii="Arial" w:hAnsi="Arial" w:cs="Arial" w:eastAsia="Arial"/>
      <w:i/>
      <w:iCs/>
      <w:sz w:val="22"/>
      <w:szCs w:val="22"/>
    </w:rPr>
  </w:style>
  <w:style w:type="character" w:styleId="478" w:customStyle="1">
    <w:name w:val="Заголовок 9 Знак"/>
    <w:link w:val="466"/>
    <w:uiPriority w:val="9"/>
    <w:rPr>
      <w:rFonts w:ascii="Arial" w:hAnsi="Arial" w:cs="Arial" w:eastAsia="Arial"/>
      <w:i/>
      <w:iCs/>
      <w:sz w:val="21"/>
      <w:szCs w:val="21"/>
    </w:rPr>
  </w:style>
  <w:style w:type="paragraph" w:styleId="479">
    <w:name w:val="List Paragraph"/>
    <w:basedOn w:val="457"/>
    <w:rPr>
      <w:rFonts w:ascii="Calibri" w:hAnsi="Calibri" w:eastAsia="Calibri"/>
      <w:sz w:val="22"/>
      <w:szCs w:val="22"/>
    </w:rPr>
    <w:pPr>
      <w:ind w:left="720"/>
    </w:pPr>
  </w:style>
  <w:style w:type="paragraph" w:styleId="480">
    <w:name w:val="No Spacing"/>
    <w:qFormat/>
    <w:uiPriority w:val="1"/>
  </w:style>
  <w:style w:type="paragraph" w:styleId="481">
    <w:name w:val="Title"/>
    <w:link w:val="482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82" w:customStyle="1">
    <w:name w:val="Заголовок Знак"/>
    <w:link w:val="481"/>
    <w:uiPriority w:val="10"/>
    <w:rPr>
      <w:sz w:val="48"/>
      <w:szCs w:val="48"/>
    </w:rPr>
  </w:style>
  <w:style w:type="paragraph" w:styleId="483">
    <w:name w:val="Subtitle"/>
    <w:link w:val="484"/>
    <w:qFormat/>
    <w:uiPriority w:val="11"/>
    <w:rPr>
      <w:sz w:val="24"/>
      <w:szCs w:val="24"/>
    </w:rPr>
    <w:pPr>
      <w:spacing w:after="200" w:before="200"/>
    </w:pPr>
  </w:style>
  <w:style w:type="character" w:styleId="484" w:customStyle="1">
    <w:name w:val="Подзаголовок Знак"/>
    <w:link w:val="483"/>
    <w:uiPriority w:val="11"/>
    <w:rPr>
      <w:sz w:val="24"/>
      <w:szCs w:val="24"/>
    </w:rPr>
  </w:style>
  <w:style w:type="paragraph" w:styleId="485">
    <w:name w:val="Quote"/>
    <w:link w:val="486"/>
    <w:qFormat/>
    <w:uiPriority w:val="29"/>
    <w:rPr>
      <w:i/>
    </w:rPr>
    <w:pPr>
      <w:ind w:left="720" w:right="720"/>
    </w:pPr>
  </w:style>
  <w:style w:type="character" w:styleId="486" w:customStyle="1">
    <w:name w:val="Цитата 2 Знак"/>
    <w:link w:val="485"/>
    <w:uiPriority w:val="29"/>
    <w:rPr>
      <w:i/>
    </w:rPr>
  </w:style>
  <w:style w:type="paragraph" w:styleId="487">
    <w:name w:val="Intense Quote"/>
    <w:link w:val="488"/>
    <w:qFormat/>
    <w:uiPriority w:val="30"/>
    <w:rPr>
      <w:i/>
    </w:rPr>
    <w:pPr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88" w:customStyle="1">
    <w:name w:val="Выделенная цитата Знак"/>
    <w:link w:val="487"/>
    <w:uiPriority w:val="30"/>
    <w:rPr>
      <w:i/>
    </w:rPr>
  </w:style>
  <w:style w:type="paragraph" w:styleId="489">
    <w:name w:val="Header"/>
    <w:basedOn w:val="457"/>
    <w:link w:val="653"/>
    <w:rPr>
      <w:lang w:val="en-US" w:eastAsia="en-US"/>
    </w:rPr>
    <w:pPr>
      <w:tabs>
        <w:tab w:val="center" w:pos="4677" w:leader="none"/>
        <w:tab w:val="right" w:pos="9355" w:leader="none"/>
      </w:tabs>
    </w:pPr>
  </w:style>
  <w:style w:type="character" w:styleId="490" w:customStyle="1">
    <w:name w:val="Header Char"/>
    <w:uiPriority w:val="99"/>
  </w:style>
  <w:style w:type="paragraph" w:styleId="491">
    <w:name w:val="Footer"/>
    <w:basedOn w:val="457"/>
    <w:link w:val="654"/>
    <w:rPr>
      <w:lang w:val="en-US" w:eastAsia="en-US"/>
    </w:rPr>
    <w:pPr>
      <w:tabs>
        <w:tab w:val="center" w:pos="4677" w:leader="none"/>
        <w:tab w:val="right" w:pos="9355" w:leader="none"/>
      </w:tabs>
    </w:pPr>
  </w:style>
  <w:style w:type="character" w:styleId="492" w:customStyle="1">
    <w:name w:val="Footer Char"/>
    <w:uiPriority w:val="99"/>
  </w:style>
  <w:style w:type="paragraph" w:styleId="493">
    <w:name w:val="caption"/>
    <w:basedOn w:val="457"/>
    <w:next w:val="457"/>
    <w:rPr>
      <w:b/>
      <w:bCs/>
      <w:sz w:val="24"/>
      <w:szCs w:val="24"/>
    </w:rPr>
    <w:pPr>
      <w:jc w:val="center"/>
      <w:tabs>
        <w:tab w:val="left" w:pos="11880" w:leader="none"/>
      </w:tabs>
    </w:pPr>
  </w:style>
  <w:style w:type="character" w:styleId="494" w:customStyle="1">
    <w:name w:val="Caption Char"/>
    <w:uiPriority w:val="99"/>
  </w:style>
  <w:style w:type="table" w:styleId="495">
    <w:name w:val="Table Grid"/>
    <w:basedOn w:val="468"/>
    <w:tblPr/>
  </w:style>
  <w:style w:type="table" w:styleId="496" w:customStyle="1">
    <w:name w:val="Table Grid Light"/>
    <w:uiPriority w:val="59"/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7">
    <w:name w:val="Plain Table 1"/>
    <w:uiPriority w:val="59"/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2F2F2" w:themeFill="text1" w:themeFillTint="0D"/>
      </w:tcPr>
    </w:tblStylePr>
    <w:tblStylePr w:type="band1Vert">
      <w:tcPr>
        <w:shd w:val="clear" w:color="auto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8">
    <w:name w:val="Plain Table 2"/>
    <w:uiPriority w:val="59"/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9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00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02">
    <w:name w:val="Grid Table 1 Light"/>
    <w:uiPriority w:val="99"/>
    <w:tblPr>
      <w:tblStyleRowBandSize w:val="1"/>
      <w:tblStyleColBandSize w:val="1"/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3" w:customStyle="1">
    <w:name w:val="Grid Table 1 Light - Accent 1"/>
    <w:uiPriority w:val="99"/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4" w:customStyle="1">
    <w:name w:val="Grid Table 1 Light - Accent 2"/>
    <w:uiPriority w:val="99"/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5" w:customStyle="1">
    <w:name w:val="Grid Table 1 Light - Accent 3"/>
    <w:uiPriority w:val="99"/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6" w:customStyle="1">
    <w:name w:val="Grid Table 1 Light - Accent 4"/>
    <w:uiPriority w:val="99"/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7" w:customStyle="1">
    <w:name w:val="Grid Table 1 Light - Accent 5"/>
    <w:uiPriority w:val="99"/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8" w:customStyle="1">
    <w:name w:val="Grid Table 1 Light - Accent 6"/>
    <w:uiPriority w:val="99"/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9">
    <w:name w:val="Grid Table 2"/>
    <w:uiPriority w:val="99"/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510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5D8AC2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511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12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13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14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15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16">
    <w:name w:val="Grid Table 3"/>
    <w:uiPriority w:val="99"/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17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18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19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20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21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22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23">
    <w:name w:val="Grid Table 4"/>
    <w:uiPriority w:val="59"/>
    <w:tblPr>
      <w:tblStyleRowBandSize w:val="1"/>
      <w:tblStyleColBandSize w:val="1"/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24" w:customStyle="1">
    <w:name w:val="Grid Table 4 - Accent 1"/>
    <w:uiPriority w:val="59"/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5D8AC2" w:themeFill="accent1" w:themeFillTint="EA"/>
        <w:tcBorders>
          <w:left w:val="single" w:color="5D8AC2" w:sz="4" w:space="0" w:themeColor="accent1" w:themeTint="EA"/>
          <w:top w:val="single" w:color="5D8AC2" w:sz="4" w:space="0" w:themeColor="accent1" w:themeTint="EA"/>
          <w:right w:val="single" w:color="5D8AC2" w:sz="4" w:space="0" w:themeColor="accent1" w:themeTint="EA"/>
          <w:bottom w:val="single" w:color="5D8AC2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 w:themeColor="accent1" w:themeTint="EA"/>
        </w:tcBorders>
      </w:tcPr>
    </w:tblStylePr>
  </w:style>
  <w:style w:type="table" w:styleId="525" w:customStyle="1">
    <w:name w:val="Grid Table 4 - Accent 2"/>
    <w:uiPriority w:val="59"/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D99695" w:themeFill="accent2" w:themeFillTint="97"/>
        <w:tcBorders>
          <w:left w:val="single" w:color="D99695" w:sz="4" w:space="0" w:themeColor="accent2" w:themeTint="97"/>
          <w:top w:val="single" w:color="D99695" w:sz="4" w:space="0" w:themeColor="accent2" w:themeTint="97"/>
          <w:right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 w:themeColor="accent2" w:themeTint="97"/>
        </w:tcBorders>
      </w:tcPr>
    </w:tblStylePr>
  </w:style>
  <w:style w:type="table" w:styleId="526" w:customStyle="1">
    <w:name w:val="Grid Table 4 - Accent 3"/>
    <w:uiPriority w:val="59"/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ABB59" w:themeFill="accent3" w:themeFillTint="FE"/>
        <w:tcBorders>
          <w:left w:val="single" w:color="9ABB59" w:sz="4" w:space="0" w:themeColor="accent3" w:themeTint="FE"/>
          <w:top w:val="single" w:color="9ABB59" w:sz="4" w:space="0" w:themeColor="accent3" w:themeTint="FE"/>
          <w:right w:val="single" w:color="9ABB59" w:sz="4" w:space="0" w:themeColor="accent3" w:themeTint="FE"/>
          <w:bottom w:val="single" w:color="9ABB59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 w:themeColor="accent3" w:themeTint="FE"/>
        </w:tcBorders>
      </w:tcPr>
    </w:tblStylePr>
  </w:style>
  <w:style w:type="table" w:styleId="527" w:customStyle="1">
    <w:name w:val="Grid Table 4 - Accent 4"/>
    <w:uiPriority w:val="59"/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B2A1C6" w:themeFill="accent4" w:themeFillTint="9A"/>
        <w:tcBorders>
          <w:left w:val="single" w:color="B2A1C6" w:sz="4" w:space="0" w:themeColor="accent4" w:themeTint="9A"/>
          <w:top w:val="single" w:color="B2A1C6" w:sz="4" w:space="0" w:themeColor="accent4" w:themeTint="9A"/>
          <w:right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 w:themeColor="accent4" w:themeTint="9A"/>
        </w:tcBorders>
      </w:tcPr>
    </w:tblStylePr>
  </w:style>
  <w:style w:type="table" w:styleId="528" w:customStyle="1">
    <w:name w:val="Grid Table 4 - Accent 5"/>
    <w:uiPriority w:val="59"/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</w:style>
  <w:style w:type="table" w:styleId="529" w:customStyle="1">
    <w:name w:val="Grid Table 4 - Accent 6"/>
    <w:uiPriority w:val="59"/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</w:style>
  <w:style w:type="table" w:styleId="530">
    <w:name w:val="Grid Table 5 Dark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8A8A8A" w:themeFill="text1" w:themeFillTint="75"/>
      </w:tcPr>
    </w:tblStylePr>
    <w:tblStylePr w:type="band1Vert">
      <w:tcPr>
        <w:shd w:val="clear" w:color="auto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000000" w:themeFill="text1"/>
        <w:tcBorders>
          <w:top w:val="single" w:color="FFFFFF" w:sz="4" w:space="0" w:themeColor="light1"/>
        </w:tcBorders>
      </w:tcPr>
    </w:tblStylePr>
  </w:style>
  <w:style w:type="table" w:styleId="531" w:customStyle="1">
    <w:name w:val="Grid Table 5 Dark- Accent 1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AEC4E0" w:themeFill="accent1" w:themeFillTint="75"/>
      </w:tcPr>
    </w:tblStylePr>
    <w:tblStylePr w:type="band1Vert">
      <w:tcPr>
        <w:shd w:val="clear" w:color="auto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4F81BD" w:themeFill="accent1"/>
        <w:tcBorders>
          <w:top w:val="single" w:color="FFFFFF" w:sz="4" w:space="0" w:themeColor="light1"/>
        </w:tcBorders>
      </w:tcPr>
    </w:tblStylePr>
  </w:style>
  <w:style w:type="table" w:styleId="532" w:customStyle="1">
    <w:name w:val="Grid Table 5 Dark - Accent 2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E2AEAD" w:themeFill="accent2" w:themeFillTint="75"/>
      </w:tcPr>
    </w:tblStylePr>
    <w:tblStylePr w:type="band1Vert">
      <w:tcPr>
        <w:shd w:val="clear" w:color="auto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C0504D" w:themeFill="accent2"/>
        <w:tcBorders>
          <w:top w:val="single" w:color="FFFFFF" w:sz="4" w:space="0" w:themeColor="light1"/>
        </w:tcBorders>
      </w:tcPr>
    </w:tblStylePr>
  </w:style>
  <w:style w:type="table" w:styleId="533" w:customStyle="1">
    <w:name w:val="Grid Table 5 Dark - Accent 3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D0DFB2" w:themeFill="accent3" w:themeFillTint="75"/>
      </w:tcPr>
    </w:tblStylePr>
    <w:tblStylePr w:type="band1Vert">
      <w:tcPr>
        <w:shd w:val="clear" w:color="auto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9BBB59" w:themeFill="accent3"/>
        <w:tcBorders>
          <w:top w:val="single" w:color="FFFFFF" w:sz="4" w:space="0" w:themeColor="light1"/>
        </w:tcBorders>
      </w:tcPr>
    </w:tblStylePr>
  </w:style>
  <w:style w:type="table" w:styleId="534" w:customStyle="1">
    <w:name w:val="Grid Table 5 Dark- Accent 4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C4B7D4" w:themeFill="accent4" w:themeFillTint="75"/>
      </w:tcPr>
    </w:tblStylePr>
    <w:tblStylePr w:type="band1Vert">
      <w:tcPr>
        <w:shd w:val="clear" w:color="auto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8064A2" w:themeFill="accent4"/>
        <w:tcBorders>
          <w:top w:val="single" w:color="FFFFFF" w:sz="4" w:space="0" w:themeColor="light1"/>
        </w:tcBorders>
      </w:tcPr>
    </w:tblStylePr>
  </w:style>
  <w:style w:type="table" w:styleId="535" w:customStyle="1">
    <w:name w:val="Grid Table 5 Dark - Accent 5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ACD8E4" w:themeFill="accent5" w:themeFillTint="75"/>
      </w:tcPr>
    </w:tblStylePr>
    <w:tblStylePr w:type="band1Vert">
      <w:tcPr>
        <w:shd w:val="clear" w:color="auto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4BACC6" w:themeFill="accent5"/>
        <w:tcBorders>
          <w:top w:val="single" w:color="FFFFFF" w:sz="4" w:space="0" w:themeColor="light1"/>
        </w:tcBorders>
      </w:tcPr>
    </w:tblStylePr>
  </w:style>
  <w:style w:type="table" w:styleId="536" w:customStyle="1">
    <w:name w:val="Grid Table 5 Dark - Accent 6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FBCEAA" w:themeFill="accent6" w:themeFillTint="75"/>
      </w:tcPr>
    </w:tblStylePr>
    <w:tblStylePr w:type="band1Vert">
      <w:tcPr>
        <w:shd w:val="clear" w:color="auto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79646" w:themeFill="accent6"/>
        <w:tcBorders>
          <w:top w:val="single" w:color="FFFFFF" w:sz="4" w:space="0" w:themeColor="light1"/>
        </w:tcBorders>
      </w:tcPr>
    </w:tblStylePr>
  </w:style>
  <w:style w:type="table" w:styleId="537">
    <w:name w:val="Grid Table 6 Colorful"/>
    <w:uiPriority w:val="99"/>
    <w:tblPr>
      <w:tblStyleRowBandSize w:val="1"/>
      <w:tblStyleColBandSize w:val="1"/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CBCBCB" w:themeFill="text1" w:themeFillTint="34"/>
      </w:tcPr>
    </w:tblStylePr>
    <w:tblStylePr w:type="band1Vert"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538" w:customStyle="1">
    <w:name w:val="Grid Table 6 Colorful - Accent 1"/>
    <w:uiPriority w:val="99"/>
    <w:tblPr>
      <w:tblStyleRowBandSize w:val="1"/>
      <w:tblStyleColBandSize w:val="1"/>
      <w:tblInd w:w="0" w:type="dxa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auto" w:fill="DAE5F1" w:themeFill="accent1" w:themeFillTint="34"/>
      </w:tcPr>
    </w:tblStylePr>
    <w:tblStylePr w:type="band1Vert"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sz="12" w:space="0" w:themeColor="accent1" w:themeTint="8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539" w:customStyle="1">
    <w:name w:val="Grid Table 6 Colorful - Accent 2"/>
    <w:uiPriority w:val="99"/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F2DCDC" w:themeFill="accent2" w:themeFillTint="32"/>
      </w:tcPr>
    </w:tblStylePr>
    <w:tblStylePr w:type="band1Vert"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540" w:customStyle="1">
    <w:name w:val="Grid Table 6 Colorful - Accent 3"/>
    <w:uiPriority w:val="99"/>
    <w:tblPr>
      <w:tblStyleRowBandSize w:val="1"/>
      <w:tblStyleColBandSize w:val="1"/>
      <w:tblInd w:w="0" w:type="dxa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auto" w:fill="EAF1DC" w:themeFill="accent3" w:themeFillTint="34"/>
      </w:tcPr>
    </w:tblStylePr>
    <w:tblStylePr w:type="band1Vert"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sz="12" w:space="0" w:themeColor="accent3" w:themeTint="FE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541" w:customStyle="1">
    <w:name w:val="Grid Table 6 Colorful - Accent 4"/>
    <w:uiPriority w:val="99"/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E5DFEC" w:themeFill="accent4" w:themeFillTint="34"/>
      </w:tcPr>
    </w:tblStylePr>
    <w:tblStylePr w:type="band1Vert"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542" w:customStyle="1">
    <w:name w:val="Grid Table 6 Colorful - Accent 5"/>
    <w:uiPriority w:val="99"/>
    <w:tblPr>
      <w:tblStyleRowBandSize w:val="1"/>
      <w:tblStyleColBandSize w:val="1"/>
      <w:tblInd w:w="0" w:type="dxa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auto" w:fill="DAEEF3" w:themeFill="accent5" w:themeFillTint="34"/>
      </w:tcPr>
    </w:tblStylePr>
    <w:tblStylePr w:type="band1Vert"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543" w:customStyle="1">
    <w:name w:val="Grid Table 6 Colorful - Accent 6"/>
    <w:uiPriority w:val="99"/>
    <w:tblPr>
      <w:tblStyleRowBandSize w:val="1"/>
      <w:tblStyleColBandSize w:val="1"/>
      <w:tblInd w:w="0" w:type="dxa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auto" w:fill="FDE9D8" w:themeFill="accent6" w:themeFillTint="34"/>
      </w:tcPr>
    </w:tblStylePr>
    <w:tblStylePr w:type="band1Vert"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544">
    <w:name w:val="Grid Table 7 Colorful"/>
    <w:uiPriority w:val="99"/>
    <w:tblPr>
      <w:tblStyleRowBandSize w:val="1"/>
      <w:tblStyleColBandSize w:val="1"/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F2F2F2" w:themeFill="text1" w:themeFillTint="0D"/>
      </w:tcPr>
    </w:tblStylePr>
    <w:tblStylePr w:type="band1Vert"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</w:style>
  <w:style w:type="table" w:styleId="545" w:customStyle="1">
    <w:name w:val="Grid Table 7 Colorful - Accent 1"/>
    <w:uiPriority w:val="99"/>
    <w:tblPr>
      <w:tblStyleRowBandSize w:val="1"/>
      <w:tblStyleColBandSize w:val="1"/>
      <w:tblInd w:w="0" w:type="dxa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auto" w:fill="DAE5F1" w:themeFill="accent1" w:themeFillTint="34"/>
      </w:tcPr>
    </w:tblStylePr>
    <w:tblStylePr w:type="band1Vert"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sz="0" w:space="0" w:color="auto"/>
          <w:top w:val="none" w:sz="0" w:space="0" w:color="auto"/>
          <w:right w:val="single" w:color="A6BFDD" w:sz="4" w:space="0" w:themeColor="accent1" w:themeTint="80"/>
          <w:bottom w:val="none" w:sz="0" w:space="0" w:color="auto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A6BFDD" w:sz="4" w:space="0" w:themeColor="accent1" w:themeTint="8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auto" w:fill="FFFFFF"/>
        <w:tcBorders>
          <w:left w:val="single" w:color="A6BFDD" w:sz="4" w:space="0" w:themeColor="accen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A6BFDD" w:sz="4" w:space="0" w:themeColor="accent1" w:themeTint="80"/>
          <w:right w:val="none" w:sz="0" w:space="0" w:color="auto"/>
          <w:bottom w:val="none" w:sz="0" w:space="0" w:color="auto"/>
        </w:tcBorders>
      </w:tcPr>
    </w:tblStylePr>
  </w:style>
  <w:style w:type="table" w:styleId="546" w:customStyle="1">
    <w:name w:val="Grid Table 7 Colorful - Accent 2"/>
    <w:uiPriority w:val="99"/>
    <w:tblPr>
      <w:tblStyleRowBandSize w:val="1"/>
      <w:tblStyleColBandSize w:val="1"/>
      <w:tblInd w:w="0" w:type="dxa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F2DCDC" w:themeFill="accent2" w:themeFillTint="32"/>
      </w:tcPr>
    </w:tblStylePr>
    <w:tblStylePr w:type="band1Vert"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sz="0" w:space="0" w:color="auto"/>
          <w:top w:val="none" w:sz="0" w:space="0" w:color="auto"/>
          <w:right w:val="single" w:color="D99695" w:sz="4" w:space="0" w:themeColor="accent2" w:themeTint="97"/>
          <w:bottom w:val="none" w:sz="0" w:space="0" w:color="auto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/>
        <w:tcBorders>
          <w:left w:val="single" w:color="D99695" w:sz="4" w:space="0" w:themeColor="accent2" w:themeTint="97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D99695" w:sz="4" w:space="0" w:themeColor="accent2" w:themeTint="97"/>
          <w:right w:val="none" w:sz="0" w:space="0" w:color="auto"/>
          <w:bottom w:val="none" w:sz="0" w:space="0" w:color="auto"/>
        </w:tcBorders>
      </w:tcPr>
    </w:tblStylePr>
  </w:style>
  <w:style w:type="table" w:styleId="547" w:customStyle="1">
    <w:name w:val="Grid Table 7 Colorful - Accent 3"/>
    <w:uiPriority w:val="99"/>
    <w:tblPr>
      <w:tblStyleRowBandSize w:val="1"/>
      <w:tblStyleColBandSize w:val="1"/>
      <w:tblInd w:w="0" w:type="dxa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auto" w:fill="EAF1DC" w:themeFill="accent3" w:themeFillTint="34"/>
      </w:tcPr>
    </w:tblStylePr>
    <w:tblStylePr w:type="band1Vert"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sz="0" w:space="0" w:color="auto"/>
          <w:top w:val="none" w:sz="0" w:space="0" w:color="auto"/>
          <w:right w:val="single" w:color="9ABB59" w:sz="4" w:space="0" w:themeColor="accent3" w:themeTint="FE"/>
          <w:bottom w:val="none" w:sz="0" w:space="0" w:color="auto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9ABB59" w:sz="4" w:space="0" w:themeColor="accent3" w:themeTint="FE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auto" w:fill="FFFFFF"/>
        <w:tcBorders>
          <w:left w:val="single" w:color="9ABB59" w:sz="4" w:space="0" w:themeColor="accent3" w:themeTint="FE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9ABB59" w:sz="4" w:space="0" w:themeColor="accent3" w:themeTint="FE"/>
          <w:right w:val="none" w:sz="0" w:space="0" w:color="auto"/>
          <w:bottom w:val="none" w:sz="0" w:space="0" w:color="auto"/>
        </w:tcBorders>
      </w:tcPr>
    </w:tblStylePr>
  </w:style>
  <w:style w:type="table" w:styleId="548" w:customStyle="1">
    <w:name w:val="Grid Table 7 Colorful - Accent 4"/>
    <w:uiPriority w:val="99"/>
    <w:tblPr>
      <w:tblStyleRowBandSize w:val="1"/>
      <w:tblStyleColBandSize w:val="1"/>
      <w:tblInd w:w="0" w:type="dxa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E5DFEC" w:themeFill="accent4" w:themeFillTint="34"/>
      </w:tcPr>
    </w:tblStylePr>
    <w:tblStylePr w:type="band1Vert"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sz="0" w:space="0" w:color="auto"/>
          <w:top w:val="none" w:sz="0" w:space="0" w:color="auto"/>
          <w:right w:val="single" w:color="B2A1C6" w:sz="4" w:space="0" w:themeColor="accent4" w:themeTint="9A"/>
          <w:bottom w:val="none" w:sz="0" w:space="0" w:color="auto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/>
        <w:tcBorders>
          <w:left w:val="single" w:color="B2A1C6" w:sz="4" w:space="0" w:themeColor="accent4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B2A1C6" w:sz="4" w:space="0" w:themeColor="accent4" w:themeTint="9A"/>
          <w:right w:val="none" w:sz="0" w:space="0" w:color="auto"/>
          <w:bottom w:val="none" w:sz="0" w:space="0" w:color="auto"/>
        </w:tcBorders>
      </w:tcPr>
    </w:tblStylePr>
  </w:style>
  <w:style w:type="table" w:styleId="549" w:customStyle="1">
    <w:name w:val="Grid Table 7 Colorful - Accent 5"/>
    <w:uiPriority w:val="99"/>
    <w:tblPr>
      <w:tblStyleRowBandSize w:val="1"/>
      <w:tblStyleColBandSize w:val="1"/>
      <w:tblInd w:w="0" w:type="dxa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auto" w:fill="DAEEF3" w:themeFill="accent5" w:themeFillTint="34"/>
      </w:tcPr>
    </w:tblStylePr>
    <w:tblStylePr w:type="band1Vert"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auto" w:fill="FFFFFF"/>
        <w:tcBorders>
          <w:left w:val="none" w:sz="0" w:space="0" w:color="auto"/>
          <w:top w:val="none" w:sz="0" w:space="0" w:color="auto"/>
          <w:right w:val="single" w:color="99D0DE" w:sz="4" w:space="0" w:themeColor="accent5" w:themeTint="90"/>
          <w:bottom w:val="none" w:sz="0" w:space="0" w:color="auto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auto" w:fill="FFFFFF"/>
        <w:tcBorders>
          <w:left w:val="single" w:color="99D0DE" w:sz="4" w:space="0" w:themeColor="accent5" w:themeTint="9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99D0DE" w:sz="4" w:space="0" w:themeColor="accent5" w:themeTint="90"/>
          <w:right w:val="none" w:sz="0" w:space="0" w:color="auto"/>
          <w:bottom w:val="none" w:sz="0" w:space="0" w:color="auto"/>
        </w:tcBorders>
      </w:tcPr>
    </w:tblStylePr>
  </w:style>
  <w:style w:type="table" w:styleId="550" w:customStyle="1">
    <w:name w:val="Grid Table 7 Colorful - Accent 6"/>
    <w:uiPriority w:val="99"/>
    <w:tblPr>
      <w:tblStyleRowBandSize w:val="1"/>
      <w:tblStyleColBandSize w:val="1"/>
      <w:tblInd w:w="0" w:type="dxa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auto" w:fill="FDE9D8" w:themeFill="accent6" w:themeFillTint="34"/>
      </w:tcPr>
    </w:tblStylePr>
    <w:tblStylePr w:type="band1Vert"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auto" w:fill="FFFFFF"/>
        <w:tcBorders>
          <w:left w:val="none" w:sz="0" w:space="0" w:color="auto"/>
          <w:top w:val="none" w:sz="0" w:space="0" w:color="auto"/>
          <w:right w:val="single" w:color="FAC396" w:sz="4" w:space="0" w:themeColor="accent6" w:themeTint="90"/>
          <w:bottom w:val="none" w:sz="0" w:space="0" w:color="auto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auto" w:fill="FFFFFF"/>
        <w:tcBorders>
          <w:left w:val="single" w:color="FAC396" w:sz="4" w:space="0" w:themeColor="accent6" w:themeTint="9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FAC396" w:sz="4" w:space="0" w:themeColor="accent6" w:themeTint="90"/>
          <w:right w:val="none" w:sz="0" w:space="0" w:color="auto"/>
          <w:bottom w:val="none" w:sz="0" w:space="0" w:color="auto"/>
        </w:tcBorders>
      </w:tcPr>
    </w:tblStylePr>
  </w:style>
  <w:style w:type="table" w:styleId="55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52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D2DFEE" w:themeFill="accent1" w:themeFillTint="40"/>
      </w:tcPr>
    </w:tblStylePr>
    <w:tblStylePr w:type="band1Vert">
      <w:tcPr>
        <w:shd w:val="clear" w:color="auto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53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EFD2D2" w:themeFill="accent2" w:themeFillTint="40"/>
      </w:tcPr>
    </w:tblStylePr>
    <w:tblStylePr w:type="band1Vert">
      <w:tcPr>
        <w:shd w:val="clear" w:color="auto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54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E5EED5" w:themeFill="accent3" w:themeFillTint="40"/>
      </w:tcPr>
    </w:tblStylePr>
    <w:tblStylePr w:type="band1Vert">
      <w:tcPr>
        <w:shd w:val="clear" w:color="auto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55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DFD8E7" w:themeFill="accent4" w:themeFillTint="40"/>
      </w:tcPr>
    </w:tblStylePr>
    <w:tblStylePr w:type="band1Vert">
      <w:tcPr>
        <w:shd w:val="clear" w:color="auto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56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D1EAF0" w:themeFill="accent5" w:themeFillTint="40"/>
      </w:tcPr>
    </w:tblStylePr>
    <w:tblStylePr w:type="band1Vert">
      <w:tcPr>
        <w:shd w:val="clear" w:color="auto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57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FDE4D0" w:themeFill="accent6" w:themeFillTint="40"/>
      </w:tcPr>
    </w:tblStylePr>
    <w:tblStylePr w:type="band1Vert">
      <w:tcPr>
        <w:shd w:val="clear" w:color="auto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58">
    <w:name w:val="List Table 2"/>
    <w:uiPriority w:val="99"/>
    <w:tblPr>
      <w:tblStyleRowBandSize w:val="1"/>
      <w:tblStyleColBandSize w:val="1"/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559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</w:style>
  <w:style w:type="table" w:styleId="560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</w:style>
  <w:style w:type="table" w:styleId="561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</w:style>
  <w:style w:type="table" w:styleId="562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</w:style>
  <w:style w:type="table" w:styleId="563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</w:style>
  <w:style w:type="table" w:styleId="564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</w:style>
  <w:style w:type="table" w:styleId="565">
    <w:name w:val="List Table 3"/>
    <w:uiPriority w:val="99"/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6" w:customStyle="1">
    <w:name w:val="List Table 3 - Accent 1"/>
    <w:uiPriority w:val="99"/>
    <w:tblPr>
      <w:tblStyleRowBandSize w:val="1"/>
      <w:tblStyleColBandSize w:val="1"/>
      <w:tblInd w:w="0" w:type="dxa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7" w:customStyle="1">
    <w:name w:val="List Table 3 - Accent 2"/>
    <w:uiPriority w:val="99"/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 w:themeColor="accent2" w:themeTint="97"/>
          <w:right w:val="single" w:color="D99695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8" w:customStyle="1">
    <w:name w:val="List Table 3 - Accent 3"/>
    <w:uiPriority w:val="99"/>
    <w:tblPr>
      <w:tblStyleRowBandSize w:val="1"/>
      <w:tblStyleColBandSize w:val="1"/>
      <w:tblInd w:w="0" w:type="dxa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 w:themeColor="accent3" w:themeTint="98"/>
          <w:bottom w:val="single" w:color="C3D69B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 w:themeColor="accent3" w:themeTint="98"/>
          <w:right w:val="single" w:color="C3D69B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9" w:customStyle="1">
    <w:name w:val="List Table 3 - Accent 4"/>
    <w:uiPriority w:val="99"/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 w:themeColor="accent4" w:themeTint="9A"/>
          <w:right w:val="single" w:color="B2A1C6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0" w:customStyle="1">
    <w:name w:val="List Table 3 - Accent 5"/>
    <w:uiPriority w:val="99"/>
    <w:tblPr>
      <w:tblStyleRowBandSize w:val="1"/>
      <w:tblStyleColBandSize w:val="1"/>
      <w:tblInd w:w="0" w:type="dxa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 w:themeColor="accent5" w:themeTint="9A"/>
          <w:bottom w:val="single" w:color="92CCDC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 w:themeColor="accent5" w:themeTint="9A"/>
          <w:right w:val="single" w:color="92CCDC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1" w:customStyle="1">
    <w:name w:val="List Table 3 - Accent 6"/>
    <w:uiPriority w:val="99"/>
    <w:tblPr>
      <w:tblStyleRowBandSize w:val="1"/>
      <w:tblStyleColBandSize w:val="1"/>
      <w:tblInd w:w="0" w:type="dxa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 w:themeColor="accent6" w:themeTint="98"/>
          <w:bottom w:val="single" w:color="FAC09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 w:themeColor="accent6" w:themeTint="98"/>
          <w:right w:val="single" w:color="FAC09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2">
    <w:name w:val="List Table 4"/>
    <w:uiPriority w:val="99"/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3" w:customStyle="1">
    <w:name w:val="List Table 4 - Accent 1"/>
    <w:uiPriority w:val="99"/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4" w:customStyle="1">
    <w:name w:val="List Table 4 - Accent 2"/>
    <w:uiPriority w:val="99"/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5" w:customStyle="1">
    <w:name w:val="List Table 4 - Accent 3"/>
    <w:uiPriority w:val="99"/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6" w:customStyle="1">
    <w:name w:val="List Table 4 - Accent 4"/>
    <w:uiPriority w:val="99"/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7" w:customStyle="1">
    <w:name w:val="List Table 4 - Accent 5"/>
    <w:uiPriority w:val="99"/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8" w:customStyle="1">
    <w:name w:val="List Table 4 - Accent 6"/>
    <w:uiPriority w:val="99"/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9">
    <w:name w:val="List Table 5 Dark"/>
    <w:uiPriority w:val="99"/>
    <w:tblPr>
      <w:tblStyleRowBandSize w:val="1"/>
      <w:tblStyleColBandSize w:val="1"/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auto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7F7F7F" w:themeFill="text1" w:themeFill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7F7F7F" w:themeFill="text1" w:themeFill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80" w:customStyle="1">
    <w:name w:val="List Table 5 Dark - Accent 1"/>
    <w:uiPriority w:val="99"/>
    <w:tblPr>
      <w:tblStyleRowBandSize w:val="1"/>
      <w:tblStyleColBandSize w:val="1"/>
      <w:tblInd w:w="0" w:type="dxa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  <w:shd w:val="clear" w:color="auto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4F81BD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4F81BD" w:themeFill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4F81BD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4F81BD" w:themeFill="accent1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81" w:customStyle="1">
    <w:name w:val="List Table 5 Dark - Accent 2"/>
    <w:uiPriority w:val="99"/>
    <w:tblPr>
      <w:tblStyleRowBandSize w:val="1"/>
      <w:tblStyleColBandSize w:val="1"/>
      <w:tblInd w:w="0" w:type="dxa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  <w:shd w:val="clear" w:color="auto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D99695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D99695" w:themeFill="accent2" w:themeFill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D99695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D99695" w:themeFill="accent2" w:themeFillTint="97"/>
        <w:tcBorders>
          <w:top w:val="single" w:color="D99695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D99695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82" w:customStyle="1">
    <w:name w:val="List Table 5 Dark - Accent 3"/>
    <w:uiPriority w:val="99"/>
    <w:tblPr>
      <w:tblStyleRowBandSize w:val="1"/>
      <w:tblStyleColBandSize w:val="1"/>
      <w:tblInd w:w="0" w:type="dxa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  <w:shd w:val="clear" w:color="auto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C3D69B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C3D69B" w:themeFill="accent3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C3D69B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C3D69B" w:themeFill="accent3" w:themeFillTint="98"/>
        <w:tcBorders>
          <w:top w:val="single" w:color="C3D69B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3D69B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83" w:customStyle="1">
    <w:name w:val="List Table 5 Dark - Accent 4"/>
    <w:uiPriority w:val="99"/>
    <w:tblPr>
      <w:tblStyleRowBandSize w:val="1"/>
      <w:tblStyleColBandSize w:val="1"/>
      <w:tblInd w:w="0" w:type="dxa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  <w:shd w:val="clear" w:color="auto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B2A1C6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B2A1C6" w:themeFill="accent4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B2A1C6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B2A1C6" w:themeFill="accent4" w:themeFillTint="9A"/>
        <w:tcBorders>
          <w:top w:val="single" w:color="B2A1C6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B2A1C6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84" w:customStyle="1">
    <w:name w:val="List Table 5 Dark - Accent 5"/>
    <w:uiPriority w:val="99"/>
    <w:tblPr>
      <w:tblStyleRowBandSize w:val="1"/>
      <w:tblStyleColBandSize w:val="1"/>
      <w:tblInd w:w="0" w:type="dxa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  <w:shd w:val="clear" w:color="auto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92CCDC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92CCDC" w:themeFill="accent5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92CCDC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92CCDC" w:themeFill="accent5" w:themeFillTint="9A"/>
        <w:tcBorders>
          <w:top w:val="single" w:color="92CCDC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2CCDC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85" w:customStyle="1">
    <w:name w:val="List Table 5 Dark - Accent 6"/>
    <w:uiPriority w:val="99"/>
    <w:tblPr>
      <w:tblStyleRowBandSize w:val="1"/>
      <w:tblStyleColBandSize w:val="1"/>
      <w:tblInd w:w="0" w:type="dxa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  <w:shd w:val="clear" w:color="auto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FAC090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FAC090" w:themeFill="accent6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FAC090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AC090" w:themeFill="accent6" w:themeFillTint="98"/>
        <w:tcBorders>
          <w:top w:val="single" w:color="FAC090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AC09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86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587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sz="4" w:space="0" w:themeColor="accent1"/>
        <w:bottom w:val="single" w:color="4F81BD" w:sz="4" w:space="0" w:themeColor="accen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auto" w:fill="D2DFEE" w:themeFill="accent1" w:themeFillTint="40"/>
      </w:tcPr>
    </w:tblStylePr>
    <w:tblStylePr w:type="band1Vert"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</w:style>
  <w:style w:type="table" w:styleId="588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sz="4" w:space="0" w:themeColor="accent2" w:themeTint="97"/>
        <w:bottom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EFD2D2" w:themeFill="accent2" w:themeFillTint="40"/>
      </w:tcPr>
    </w:tblStylePr>
    <w:tblStylePr w:type="band1Vert"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4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sz="4" w:space="0" w:themeColor="accent2" w:themeTint="97"/>
        </w:tcBorders>
      </w:tcPr>
    </w:tblStylePr>
  </w:style>
  <w:style w:type="table" w:styleId="589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sz="4" w:space="0" w:themeColor="accent3" w:themeTint="98"/>
        <w:bottom w:val="single" w:color="C3D69B" w:sz="4" w:space="0" w:themeColor="accent3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auto" w:fill="E5EED5" w:themeFill="accent3" w:themeFillTint="40"/>
      </w:tcPr>
    </w:tblStylePr>
    <w:tblStylePr w:type="band1Vert"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sz="4" w:space="0" w:themeColor="accent3" w:themeTint="98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sz="4" w:space="0" w:themeColor="accent3" w:themeTint="98"/>
        </w:tcBorders>
      </w:tcPr>
    </w:tblStylePr>
  </w:style>
  <w:style w:type="table" w:styleId="590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sz="4" w:space="0" w:themeColor="accent4" w:themeTint="9A"/>
        <w:bottom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DFD8E7" w:themeFill="accent4" w:themeFillTint="40"/>
      </w:tcPr>
    </w:tblStylePr>
    <w:tblStylePr w:type="band1Vert"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4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sz="4" w:space="0" w:themeColor="accent4" w:themeTint="9A"/>
        </w:tcBorders>
      </w:tcPr>
    </w:tblStylePr>
  </w:style>
  <w:style w:type="table" w:styleId="591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sz="4" w:space="0" w:themeColor="accent5" w:themeTint="9A"/>
        <w:bottom w:val="single" w:color="92CCDC" w:sz="4" w:space="0" w:themeColor="accent5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auto" w:fill="D1EAF0" w:themeFill="accent5" w:themeFillTint="40"/>
      </w:tcPr>
    </w:tblStylePr>
    <w:tblStylePr w:type="band1Vert"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sz="4" w:space="0" w:themeColor="accent5" w:themeTint="9A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sz="4" w:space="0" w:themeColor="accent5" w:themeTint="9A"/>
        </w:tcBorders>
      </w:tcPr>
    </w:tblStylePr>
  </w:style>
  <w:style w:type="table" w:styleId="592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sz="4" w:space="0" w:themeColor="accent6" w:themeTint="98"/>
        <w:bottom w:val="single" w:color="FAC090" w:sz="4" w:space="0" w:themeColor="accent6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auto" w:fill="FDE4D0" w:themeFill="accent6" w:themeFillTint="40"/>
      </w:tcPr>
    </w:tblStylePr>
    <w:tblStylePr w:type="band1Vert"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sz="4" w:space="0" w:themeColor="accent6" w:themeTint="98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sz="4" w:space="0" w:themeColor="accent6" w:themeTint="98"/>
        </w:tcBorders>
      </w:tcPr>
    </w:tblStylePr>
  </w:style>
  <w:style w:type="table" w:styleId="593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</w:style>
  <w:style w:type="table" w:styleId="594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sz="4" w:space="0" w:themeColor="accen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auto" w:fill="D2DFEE" w:themeFill="accent1" w:themeFillTint="40"/>
      </w:tcPr>
    </w:tblStylePr>
    <w:tblStylePr w:type="band1Vert"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auto" w:fill="FFFFFF"/>
        <w:tcBorders>
          <w:left w:val="none" w:sz="0" w:space="0" w:color="auto"/>
          <w:top w:val="none" w:sz="0" w:space="0" w:color="auto"/>
          <w:right w:val="single" w:color="4F81BD" w:sz="4" w:space="0" w:themeColor="accent1"/>
          <w:bottom w:val="none" w:sz="0" w:space="0" w:color="auto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4F81BD" w:sz="4" w:space="0" w:themeColor="accent1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auto" w:fill="FFFFFF"/>
        <w:tcBorders>
          <w:left w:val="single" w:color="4F81BD" w:sz="4" w:space="0" w:themeColor="accent1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4F81BD" w:sz="4" w:space="0" w:themeColor="accent1"/>
          <w:right w:val="none" w:sz="0" w:space="0" w:color="auto"/>
          <w:bottom w:val="none" w:sz="0" w:space="0" w:color="auto"/>
        </w:tcBorders>
      </w:tcPr>
    </w:tblStylePr>
  </w:style>
  <w:style w:type="table" w:styleId="595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EFD2D2" w:themeFill="accent2" w:themeFillTint="40"/>
      </w:tcPr>
    </w:tblStylePr>
    <w:tblStylePr w:type="band1Vert"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sz="0" w:space="0" w:color="auto"/>
          <w:top w:val="none" w:sz="0" w:space="0" w:color="auto"/>
          <w:right w:val="single" w:color="D99695" w:sz="4" w:space="0" w:themeColor="accent2" w:themeTint="97"/>
          <w:bottom w:val="none" w:sz="0" w:space="0" w:color="auto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/>
        <w:tcBorders>
          <w:left w:val="single" w:color="D99695" w:sz="4" w:space="0" w:themeColor="accent2" w:themeTint="97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D99695" w:sz="4" w:space="0" w:themeColor="accent2" w:themeTint="97"/>
          <w:right w:val="none" w:sz="0" w:space="0" w:color="auto"/>
          <w:bottom w:val="none" w:sz="0" w:space="0" w:color="auto"/>
        </w:tcBorders>
      </w:tcPr>
    </w:tblStylePr>
  </w:style>
  <w:style w:type="table" w:styleId="596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sz="4" w:space="0" w:themeColor="accent3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auto" w:fill="E5EED5" w:themeFill="accent3" w:themeFillTint="40"/>
      </w:tcPr>
    </w:tblStylePr>
    <w:tblStylePr w:type="band1Vert"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sz="0" w:space="0" w:color="auto"/>
          <w:top w:val="none" w:sz="0" w:space="0" w:color="auto"/>
          <w:right w:val="single" w:color="C3D69B" w:sz="4" w:space="0" w:themeColor="accent3" w:themeTint="98"/>
          <w:bottom w:val="none" w:sz="0" w:space="0" w:color="auto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C3D69B" w:sz="4" w:space="0" w:themeColor="accent3" w:themeTint="98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auto" w:fill="FFFFFF"/>
        <w:tcBorders>
          <w:left w:val="single" w:color="C3D69B" w:sz="4" w:space="0" w:themeColor="accent3" w:themeTint="98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C3D69B" w:sz="4" w:space="0" w:themeColor="accent3" w:themeTint="98"/>
          <w:right w:val="none" w:sz="0" w:space="0" w:color="auto"/>
          <w:bottom w:val="none" w:sz="0" w:space="0" w:color="auto"/>
        </w:tcBorders>
      </w:tcPr>
    </w:tblStylePr>
  </w:style>
  <w:style w:type="table" w:styleId="597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DFD8E7" w:themeFill="accent4" w:themeFillTint="40"/>
      </w:tcPr>
    </w:tblStylePr>
    <w:tblStylePr w:type="band1Vert"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sz="0" w:space="0" w:color="auto"/>
          <w:top w:val="none" w:sz="0" w:space="0" w:color="auto"/>
          <w:right w:val="single" w:color="B2A1C6" w:sz="4" w:space="0" w:themeColor="accent4" w:themeTint="9A"/>
          <w:bottom w:val="none" w:sz="0" w:space="0" w:color="auto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/>
        <w:tcBorders>
          <w:left w:val="single" w:color="B2A1C6" w:sz="4" w:space="0" w:themeColor="accent4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B2A1C6" w:sz="4" w:space="0" w:themeColor="accent4" w:themeTint="9A"/>
          <w:right w:val="none" w:sz="0" w:space="0" w:color="auto"/>
          <w:bottom w:val="none" w:sz="0" w:space="0" w:color="auto"/>
        </w:tcBorders>
      </w:tcPr>
    </w:tblStylePr>
  </w:style>
  <w:style w:type="table" w:styleId="598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sz="4" w:space="0" w:themeColor="accent5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auto" w:fill="D1EAF0" w:themeFill="accent5" w:themeFillTint="40"/>
      </w:tcPr>
    </w:tblStylePr>
    <w:tblStylePr w:type="band1Vert"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sz="0" w:space="0" w:color="auto"/>
          <w:top w:val="none" w:sz="0" w:space="0" w:color="auto"/>
          <w:right w:val="single" w:color="92CCDC" w:sz="4" w:space="0" w:themeColor="accent5" w:themeTint="9A"/>
          <w:bottom w:val="none" w:sz="0" w:space="0" w:color="auto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92CCDC" w:sz="4" w:space="0" w:themeColor="accent5" w:themeTint="9A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auto" w:fill="FFFFFF"/>
        <w:tcBorders>
          <w:left w:val="single" w:color="92CCDC" w:sz="4" w:space="0" w:themeColor="accent5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92CCDC" w:sz="4" w:space="0" w:themeColor="accent5" w:themeTint="9A"/>
          <w:right w:val="none" w:sz="0" w:space="0" w:color="auto"/>
          <w:bottom w:val="none" w:sz="0" w:space="0" w:color="auto"/>
        </w:tcBorders>
      </w:tcPr>
    </w:tblStylePr>
  </w:style>
  <w:style w:type="table" w:styleId="599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sz="4" w:space="0" w:themeColor="accent6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auto" w:fill="FDE4D0" w:themeFill="accent6" w:themeFillTint="40"/>
      </w:tcPr>
    </w:tblStylePr>
    <w:tblStylePr w:type="band1Vert"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sz="0" w:space="0" w:color="auto"/>
          <w:top w:val="none" w:sz="0" w:space="0" w:color="auto"/>
          <w:right w:val="single" w:color="FAC090" w:sz="4" w:space="0" w:themeColor="accent6" w:themeTint="98"/>
          <w:bottom w:val="none" w:sz="0" w:space="0" w:color="auto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FAC090" w:sz="4" w:space="0" w:themeColor="accent6" w:themeTint="98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auto" w:fill="FFFFFF"/>
        <w:tcBorders>
          <w:left w:val="single" w:color="FAC090" w:sz="4" w:space="0" w:themeColor="accent6" w:themeTint="98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FAC090" w:sz="4" w:space="0" w:themeColor="accent6" w:themeTint="98"/>
          <w:right w:val="none" w:sz="0" w:space="0" w:color="auto"/>
          <w:bottom w:val="none" w:sz="0" w:space="0" w:color="auto"/>
        </w:tcBorders>
      </w:tcPr>
    </w:tblStylePr>
  </w:style>
  <w:style w:type="table" w:styleId="600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</w:style>
  <w:style w:type="table" w:styleId="601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</w:style>
  <w:style w:type="table" w:styleId="602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</w:style>
  <w:style w:type="table" w:styleId="603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</w:style>
  <w:style w:type="table" w:styleId="604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</w:style>
  <w:style w:type="table" w:styleId="605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</w:style>
  <w:style w:type="table" w:styleId="606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</w:style>
  <w:style w:type="table" w:styleId="607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</w:style>
  <w:style w:type="table" w:styleId="608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left w:val="single" w:color="2A4A71" w:sz="4" w:space="0" w:themeColor="accent1" w:themeShade="95"/>
        <w:top w:val="single" w:color="2A4A71" w:sz="4" w:space="0" w:themeColor="accent1" w:themeShade="95"/>
        <w:right w:val="single" w:color="2A4A71" w:sz="4" w:space="0" w:themeColor="accent1" w:themeShade="95"/>
        <w:bottom w:val="single" w:color="2A4A71" w:sz="4" w:space="0" w:themeColor="accent1" w:themeShade="95"/>
        <w:insideV w:val="single" w:color="2A4A71" w:sz="4" w:space="0" w:themeColor="accent1" w:themeShade="95"/>
        <w:insideH w:val="single" w:color="2A4A71" w:sz="4" w:space="0" w:themeColor="accent1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</w:style>
  <w:style w:type="table" w:styleId="609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left w:val="single" w:color="732A29" w:sz="4" w:space="0" w:themeColor="accent2" w:themeShade="95"/>
        <w:top w:val="single" w:color="732A29" w:sz="4" w:space="0" w:themeColor="accent2" w:themeShade="95"/>
        <w:right w:val="single" w:color="732A29" w:sz="4" w:space="0" w:themeColor="accent2" w:themeShade="95"/>
        <w:bottom w:val="single" w:color="732A29" w:sz="4" w:space="0" w:themeColor="accent2" w:themeShade="95"/>
        <w:insideV w:val="single" w:color="732A29" w:sz="4" w:space="0" w:themeColor="accent2" w:themeShade="95"/>
        <w:insideH w:val="single" w:color="732A29" w:sz="4" w:space="0" w:themeColor="accent2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</w:style>
  <w:style w:type="table" w:styleId="610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left w:val="single" w:color="5B722E" w:sz="4" w:space="0" w:themeColor="accent3" w:themeShade="95"/>
        <w:top w:val="single" w:color="5B722E" w:sz="4" w:space="0" w:themeColor="accent3" w:themeShade="95"/>
        <w:right w:val="single" w:color="5B722E" w:sz="4" w:space="0" w:themeColor="accent3" w:themeShade="95"/>
        <w:bottom w:val="single" w:color="5B722E" w:sz="4" w:space="0" w:themeColor="accent3" w:themeShade="95"/>
        <w:insideV w:val="single" w:color="5B722E" w:sz="4" w:space="0" w:themeColor="accent3" w:themeShade="95"/>
        <w:insideH w:val="single" w:color="5B722E" w:sz="4" w:space="0" w:themeColor="accent3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</w:style>
  <w:style w:type="table" w:styleId="611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left w:val="single" w:color="4A395F" w:sz="4" w:space="0" w:themeColor="accent4" w:themeShade="95"/>
        <w:top w:val="single" w:color="4A395F" w:sz="4" w:space="0" w:themeColor="accent4" w:themeShade="95"/>
        <w:right w:val="single" w:color="4A395F" w:sz="4" w:space="0" w:themeColor="accent4" w:themeShade="95"/>
        <w:bottom w:val="single" w:color="4A395F" w:sz="4" w:space="0" w:themeColor="accent4" w:themeShade="95"/>
        <w:insideV w:val="single" w:color="4A395F" w:sz="4" w:space="0" w:themeColor="accent4" w:themeShade="95"/>
        <w:insideH w:val="single" w:color="4A395F" w:sz="4" w:space="0" w:themeColor="accent4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</w:style>
  <w:style w:type="table" w:styleId="612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left w:val="single" w:color="266779" w:sz="4" w:space="0" w:themeColor="accent5" w:themeShade="95"/>
        <w:top w:val="single" w:color="266779" w:sz="4" w:space="0" w:themeColor="accent5" w:themeShade="95"/>
        <w:right w:val="single" w:color="266779" w:sz="4" w:space="0" w:themeColor="accent5" w:themeShade="95"/>
        <w:bottom w:val="single" w:color="266779" w:sz="4" w:space="0" w:themeColor="accent5" w:themeShade="95"/>
        <w:insideV w:val="single" w:color="266779" w:sz="4" w:space="0" w:themeColor="accent5" w:themeShade="95"/>
        <w:insideH w:val="single" w:color="266779" w:sz="4" w:space="0" w:themeColor="accent5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</w:style>
  <w:style w:type="table" w:styleId="613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left w:val="single" w:color="B15407" w:sz="4" w:space="0" w:themeColor="accent6" w:themeShade="95"/>
        <w:top w:val="single" w:color="B15407" w:sz="4" w:space="0" w:themeColor="accent6" w:themeShade="95"/>
        <w:right w:val="single" w:color="B15407" w:sz="4" w:space="0" w:themeColor="accent6" w:themeShade="95"/>
        <w:bottom w:val="single" w:color="B15407" w:sz="4" w:space="0" w:themeColor="accent6" w:themeShade="95"/>
        <w:insideV w:val="single" w:color="B15407" w:sz="4" w:space="0" w:themeColor="accent6" w:themeShade="95"/>
        <w:insideH w:val="single" w:color="B15407" w:sz="4" w:space="0" w:themeColor="accent6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</w:style>
  <w:style w:type="table" w:styleId="614" w:customStyle="1">
    <w:name w:val="Bordered"/>
    <w:uiPriority w:val="99"/>
    <w:tblPr>
      <w:tblStyleRowBandSize w:val="1"/>
      <w:tblStyleColBandSize w:val="1"/>
      <w:tblInd w:w="0" w:type="dxa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615" w:customStyle="1">
    <w:name w:val="Bordered - Accent 1"/>
    <w:uiPriority w:val="99"/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 w:themeColor="accent1"/>
        </w:tcBorders>
      </w:tcPr>
    </w:tblStylePr>
  </w:style>
  <w:style w:type="table" w:styleId="616" w:customStyle="1">
    <w:name w:val="Bordered - Accent 2"/>
    <w:uiPriority w:val="99"/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 w:themeColor="accent2" w:themeTint="97"/>
        </w:tcBorders>
      </w:tcPr>
    </w:tblStylePr>
  </w:style>
  <w:style w:type="table" w:styleId="617" w:customStyle="1">
    <w:name w:val="Bordered - Accent 3"/>
    <w:uiPriority w:val="99"/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 w:themeColor="accent3" w:themeTint="98"/>
        </w:tcBorders>
      </w:tcPr>
    </w:tblStylePr>
  </w:style>
  <w:style w:type="table" w:styleId="618" w:customStyle="1">
    <w:name w:val="Bordered - Accent 4"/>
    <w:uiPriority w:val="99"/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 w:themeColor="accent4" w:themeTint="9A"/>
        </w:tcBorders>
      </w:tcPr>
    </w:tblStylePr>
  </w:style>
  <w:style w:type="table" w:styleId="619" w:customStyle="1">
    <w:name w:val="Bordered - Accent 5"/>
    <w:uiPriority w:val="99"/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 w:themeColor="accent5" w:themeTint="9A"/>
        </w:tcBorders>
      </w:tcPr>
    </w:tblStylePr>
  </w:style>
  <w:style w:type="table" w:styleId="620" w:customStyle="1">
    <w:name w:val="Bordered - Accent 6"/>
    <w:uiPriority w:val="99"/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 w:themeColor="accent6" w:themeTint="98"/>
        </w:tcBorders>
      </w:tcPr>
    </w:tblStylePr>
  </w:style>
  <w:style w:type="character" w:styleId="621">
    <w:name w:val="Hyperlink"/>
    <w:rPr>
      <w:color w:val="0000FF"/>
      <w:u w:val="single"/>
    </w:rPr>
  </w:style>
  <w:style w:type="paragraph" w:styleId="622">
    <w:name w:val="footnote text"/>
    <w:link w:val="623"/>
    <w:uiPriority w:val="99"/>
    <w:semiHidden/>
    <w:unhideWhenUsed/>
    <w:rPr>
      <w:sz w:val="18"/>
    </w:rPr>
    <w:pPr>
      <w:spacing w:after="40"/>
    </w:pPr>
  </w:style>
  <w:style w:type="character" w:styleId="623" w:customStyle="1">
    <w:name w:val="Текст сноски Знак"/>
    <w:link w:val="622"/>
    <w:uiPriority w:val="99"/>
    <w:rPr>
      <w:sz w:val="18"/>
    </w:rPr>
  </w:style>
  <w:style w:type="character" w:styleId="624">
    <w:name w:val="footnote reference"/>
    <w:uiPriority w:val="99"/>
    <w:unhideWhenUsed/>
    <w:rPr>
      <w:vertAlign w:val="superscript"/>
    </w:rPr>
  </w:style>
  <w:style w:type="paragraph" w:styleId="625">
    <w:name w:val="endnote text"/>
    <w:link w:val="626"/>
    <w:uiPriority w:val="99"/>
    <w:semiHidden/>
    <w:unhideWhenUsed/>
  </w:style>
  <w:style w:type="character" w:styleId="626" w:customStyle="1">
    <w:name w:val="Текст концевой сноски Знак"/>
    <w:link w:val="625"/>
    <w:uiPriority w:val="99"/>
    <w:rPr>
      <w:sz w:val="20"/>
    </w:rPr>
  </w:style>
  <w:style w:type="character" w:styleId="627">
    <w:name w:val="endnote reference"/>
    <w:uiPriority w:val="99"/>
    <w:semiHidden/>
    <w:unhideWhenUsed/>
    <w:rPr>
      <w:vertAlign w:val="superscript"/>
    </w:rPr>
  </w:style>
  <w:style w:type="paragraph" w:styleId="628">
    <w:name w:val="toc 1"/>
    <w:uiPriority w:val="39"/>
    <w:unhideWhenUsed/>
    <w:pPr>
      <w:spacing w:after="57"/>
    </w:pPr>
  </w:style>
  <w:style w:type="paragraph" w:styleId="629">
    <w:name w:val="toc 2"/>
    <w:uiPriority w:val="39"/>
    <w:unhideWhenUsed/>
    <w:pPr>
      <w:ind w:left="283"/>
      <w:spacing w:after="57"/>
    </w:pPr>
  </w:style>
  <w:style w:type="paragraph" w:styleId="630">
    <w:name w:val="toc 3"/>
    <w:uiPriority w:val="39"/>
    <w:unhideWhenUsed/>
    <w:pPr>
      <w:ind w:left="567"/>
      <w:spacing w:after="57"/>
    </w:pPr>
  </w:style>
  <w:style w:type="paragraph" w:styleId="631">
    <w:name w:val="toc 4"/>
    <w:uiPriority w:val="39"/>
    <w:unhideWhenUsed/>
    <w:pPr>
      <w:ind w:left="850"/>
      <w:spacing w:after="57"/>
    </w:pPr>
  </w:style>
  <w:style w:type="paragraph" w:styleId="632">
    <w:name w:val="toc 5"/>
    <w:uiPriority w:val="39"/>
    <w:unhideWhenUsed/>
    <w:pPr>
      <w:ind w:left="1134"/>
      <w:spacing w:after="57"/>
    </w:pPr>
  </w:style>
  <w:style w:type="paragraph" w:styleId="633">
    <w:name w:val="toc 6"/>
    <w:uiPriority w:val="39"/>
    <w:unhideWhenUsed/>
    <w:pPr>
      <w:ind w:left="1417"/>
      <w:spacing w:after="57"/>
    </w:pPr>
  </w:style>
  <w:style w:type="paragraph" w:styleId="634">
    <w:name w:val="toc 7"/>
    <w:uiPriority w:val="39"/>
    <w:unhideWhenUsed/>
    <w:pPr>
      <w:ind w:left="1701"/>
      <w:spacing w:after="57"/>
    </w:pPr>
  </w:style>
  <w:style w:type="paragraph" w:styleId="635">
    <w:name w:val="toc 8"/>
    <w:uiPriority w:val="39"/>
    <w:unhideWhenUsed/>
    <w:pPr>
      <w:ind w:left="1984"/>
      <w:spacing w:after="57"/>
    </w:pPr>
  </w:style>
  <w:style w:type="paragraph" w:styleId="636">
    <w:name w:val="toc 9"/>
    <w:uiPriority w:val="39"/>
    <w:unhideWhenUsed/>
    <w:pPr>
      <w:ind w:left="2268"/>
      <w:spacing w:after="57"/>
    </w:pPr>
  </w:style>
  <w:style w:type="paragraph" w:styleId="637">
    <w:name w:val="TOC Heading"/>
    <w:uiPriority w:val="39"/>
    <w:unhideWhenUsed/>
  </w:style>
  <w:style w:type="paragraph" w:styleId="638" w:customStyle="1">
    <w:name w:val="Знак1"/>
    <w:basedOn w:val="457"/>
    <w:rPr>
      <w:rFonts w:ascii="Verdana" w:hAnsi="Verdana"/>
      <w:color w:val="000000"/>
      <w:spacing w:val="-10"/>
      <w:lang w:val="en-US" w:eastAsia="en-US"/>
    </w:rPr>
    <w:pPr>
      <w:spacing w:lineRule="exact" w:line="240" w:after="160"/>
    </w:pPr>
  </w:style>
  <w:style w:type="character" w:styleId="639" w:customStyle="1">
    <w:name w:val="Заголовок 8 Знак"/>
    <w:link w:val="465"/>
    <w:semiHidden/>
    <w:rPr>
      <w:rFonts w:ascii="Calibri" w:hAnsi="Calibri" w:eastAsia="Times New Roman"/>
      <w:i/>
      <w:iCs/>
      <w:sz w:val="24"/>
      <w:szCs w:val="24"/>
    </w:rPr>
  </w:style>
  <w:style w:type="paragraph" w:styleId="640" w:customStyle="1">
    <w:name w:val="Обычный.Название подразделения"/>
    <w:rPr>
      <w:rFonts w:ascii="schoolbook" w:hAnsi="schoolbook"/>
      <w:sz w:val="28"/>
      <w:lang w:eastAsia="ru-RU"/>
    </w:rPr>
  </w:style>
  <w:style w:type="paragraph" w:styleId="641">
    <w:name w:val="Body Text 3"/>
    <w:basedOn w:val="457"/>
    <w:link w:val="642"/>
    <w:rPr>
      <w:sz w:val="24"/>
      <w:szCs w:val="24"/>
      <w:lang w:val="en-US" w:eastAsia="en-US"/>
    </w:rPr>
    <w:pPr>
      <w:jc w:val="center"/>
    </w:pPr>
  </w:style>
  <w:style w:type="character" w:styleId="642" w:customStyle="1">
    <w:name w:val="Основной текст 3 Знак"/>
    <w:link w:val="641"/>
    <w:rPr>
      <w:sz w:val="28"/>
      <w:szCs w:val="24"/>
    </w:rPr>
  </w:style>
  <w:style w:type="paragraph" w:styleId="643">
    <w:name w:val="Body Text 2"/>
    <w:basedOn w:val="457"/>
    <w:link w:val="644"/>
    <w:rPr>
      <w:sz w:val="24"/>
      <w:szCs w:val="24"/>
      <w:lang w:val="en-US" w:eastAsia="en-US"/>
    </w:rPr>
    <w:pPr>
      <w:spacing w:lineRule="auto" w:line="480" w:after="120"/>
    </w:pPr>
  </w:style>
  <w:style w:type="character" w:styleId="644" w:customStyle="1">
    <w:name w:val="Основной текст 2 Знак"/>
    <w:link w:val="643"/>
    <w:rPr>
      <w:sz w:val="24"/>
      <w:szCs w:val="24"/>
    </w:rPr>
  </w:style>
  <w:style w:type="paragraph" w:styleId="645" w:customStyle="1">
    <w:name w:val="ConsPlusNormal"/>
    <w:rPr>
      <w:rFonts w:ascii="Arial" w:hAnsi="Arial"/>
      <w:lang w:eastAsia="ru-RU"/>
    </w:rPr>
    <w:pPr>
      <w:ind w:firstLine="720"/>
      <w:widowControl w:val="off"/>
    </w:pPr>
  </w:style>
  <w:style w:type="paragraph" w:styleId="646" w:customStyle="1">
    <w:name w:val="ConsPlusTitle"/>
    <w:rPr>
      <w:rFonts w:ascii="Arial" w:hAnsi="Arial"/>
      <w:b/>
      <w:bCs/>
      <w:lang w:eastAsia="ru-RU"/>
    </w:rPr>
    <w:pPr>
      <w:widowControl w:val="off"/>
    </w:pPr>
  </w:style>
  <w:style w:type="character" w:styleId="647" w:customStyle="1">
    <w:name w:val="portlettitle"/>
    <w:basedOn w:val="467"/>
  </w:style>
  <w:style w:type="paragraph" w:styleId="648">
    <w:name w:val="Body Text"/>
    <w:basedOn w:val="457"/>
    <w:link w:val="649"/>
    <w:rPr>
      <w:lang w:val="en-US" w:eastAsia="en-US"/>
    </w:rPr>
    <w:pPr>
      <w:spacing w:after="120"/>
    </w:pPr>
  </w:style>
  <w:style w:type="character" w:styleId="649" w:customStyle="1">
    <w:name w:val="Основной текст Знак"/>
    <w:link w:val="648"/>
    <w:rPr>
      <w:sz w:val="28"/>
      <w:szCs w:val="28"/>
    </w:rPr>
  </w:style>
  <w:style w:type="paragraph" w:styleId="650" w:customStyle="1">
    <w:name w:val="Знак1"/>
    <w:basedOn w:val="457"/>
    <w:rPr>
      <w:rFonts w:ascii="Verdana" w:hAnsi="Verdana"/>
      <w:lang w:val="en-US" w:eastAsia="en-US"/>
    </w:rPr>
    <w:pPr>
      <w:spacing w:lineRule="exact" w:line="240" w:after="160"/>
    </w:pPr>
  </w:style>
  <w:style w:type="paragraph" w:styleId="651" w:customStyle="1">
    <w:name w:val="Знак Знак Знак Знак"/>
    <w:basedOn w:val="457"/>
    <w:rPr>
      <w:rFonts w:ascii="Verdana" w:hAnsi="Verdana"/>
      <w:lang w:val="en-US" w:eastAsia="en-US"/>
    </w:rPr>
    <w:pPr>
      <w:spacing w:lineRule="exact" w:line="240" w:after="160"/>
    </w:pPr>
  </w:style>
  <w:style w:type="character" w:styleId="652" w:customStyle="1">
    <w:name w:val="apple-style-span"/>
    <w:basedOn w:val="467"/>
  </w:style>
  <w:style w:type="character" w:styleId="653" w:customStyle="1">
    <w:name w:val="Верхний колонтитул Знак"/>
    <w:link w:val="489"/>
    <w:rPr>
      <w:sz w:val="28"/>
      <w:szCs w:val="28"/>
    </w:rPr>
  </w:style>
  <w:style w:type="character" w:styleId="654" w:customStyle="1">
    <w:name w:val="Нижний колонтитул Знак"/>
    <w:link w:val="491"/>
    <w:rPr>
      <w:sz w:val="28"/>
      <w:szCs w:val="28"/>
    </w:rPr>
  </w:style>
  <w:style w:type="paragraph" w:styleId="655">
    <w:name w:val="Balloon Text"/>
    <w:basedOn w:val="457"/>
    <w:link w:val="656"/>
    <w:rPr>
      <w:rFonts w:ascii="Tahoma" w:hAnsi="Tahoma"/>
      <w:sz w:val="16"/>
      <w:szCs w:val="16"/>
      <w:lang w:val="en-US" w:eastAsia="en-US"/>
    </w:rPr>
  </w:style>
  <w:style w:type="character" w:styleId="656" w:customStyle="1">
    <w:name w:val="Текст выноски Знак"/>
    <w:link w:val="655"/>
    <w:rPr>
      <w:rFonts w:ascii="Tahoma" w:hAnsi="Tahoma"/>
      <w:sz w:val="16"/>
      <w:szCs w:val="16"/>
    </w:rPr>
  </w:style>
  <w:style w:type="paragraph" w:styleId="657">
    <w:name w:val="Normal (Web)"/>
    <w:basedOn w:val="457"/>
    <w:rPr>
      <w:sz w:val="24"/>
      <w:szCs w:val="24"/>
    </w:rPr>
    <w:pPr>
      <w:spacing w:after="100" w:afterAutospacing="1" w:before="100" w:beforeAutospacing="1"/>
    </w:pPr>
  </w:style>
  <w:style w:type="character" w:styleId="658">
    <w:name w:val="Strong"/>
    <w:rPr>
      <w:b/>
      <w:bCs/>
    </w:rPr>
  </w:style>
  <w:style w:type="character" w:styleId="659" w:customStyle="1">
    <w:name w:val="apple-converted-space"/>
    <w:basedOn w:val="467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Р7-Офис/1.4.1.37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Ревина Елена Евгеньевна</dc:creator>
  <cp:revision>5</cp:revision>
  <dcterms:created xsi:type="dcterms:W3CDTF">2021-04-08T12:52:00Z</dcterms:created>
  <dcterms:modified xsi:type="dcterms:W3CDTF">2021-09-02T12:24:36Z</dcterms:modified>
</cp:coreProperties>
</file>