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888" w:rsidRDefault="00CD6E5D" w:rsidP="00886888">
      <w:r>
        <w:rPr>
          <w:sz w:val="32"/>
          <w:szCs w:val="32"/>
        </w:rPr>
        <w:t>Доклад об осуществлении государственного контроля (надзора), муниципального контроля за</w:t>
      </w:r>
      <w:r w:rsidR="005827E9">
        <w:rPr>
          <w:b/>
          <w:sz w:val="32"/>
          <w:szCs w:val="32"/>
        </w:rPr>
        <w:t xml:space="preserve"> 2020 </w:t>
      </w:r>
      <w:r>
        <w:rPr>
          <w:sz w:val="32"/>
          <w:szCs w:val="32"/>
        </w:rPr>
        <w:t>год</w:t>
      </w:r>
    </w:p>
    <w:p w:rsidR="00A6696F" w:rsidRPr="00755FAF" w:rsidRDefault="00A6696F"/>
    <w:p w:rsidR="00886888" w:rsidRPr="00755FAF" w:rsidRDefault="00886888"/>
    <w:p w:rsidR="00886888" w:rsidRPr="00755FAF" w:rsidRDefault="00886888"/>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Состояние нормативно-правового регулирования в</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rsidR="00F31C3C" w:rsidRDefault="00F31C3C" w:rsidP="0083213D">
      <w:pPr>
        <w:rPr>
          <w:sz w:val="32"/>
          <w:szCs w:val="32"/>
        </w:rPr>
      </w:pP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Деятельность государственной жилищной инспекции Воронежской области (далее – Инспекция), как органа государственного жилищного надзора, регламентирована следующими нормативными правовыми актами, соблюдение которых является предметом контроля (надзора):</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Жилищный кодекс Российской Федерации от 29.12.2004 № 188-ФЗ;</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Кодекс Российской Федерации об административных правонарушениях от 30.12.2001 № 195-ФЗ;</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Федеральный закон от 06.10.2003 № 131-ФЗ «Об общих принципах организации местного самоуправления в Российской Федерации»;</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Федеральный закон от 02.05.2006 № 59-ФЗ «О порядке рассмотрения обращений граждан Российской Федерации»;</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lastRenderedPageBreak/>
        <w:t>Федеральный закон от 27.12.2002 № 184-ФЗ «О техническом регулировании»;</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 xml:space="preserve">Федеральный закон от 23.11.2009 № 261-ФЗ «Об энергосбережении и о повышении </w:t>
      </w:r>
      <w:r w:rsidR="00A21FE0">
        <w:rPr>
          <w:rFonts w:ascii="PT Astra Serif" w:eastAsia="PT Astra Serif" w:hAnsi="PT Astra Serif" w:cs="PT Astra Serif"/>
          <w:sz w:val="28"/>
          <w:szCs w:val="28"/>
        </w:rPr>
        <w:t>энергетической эффективности,</w:t>
      </w:r>
      <w:r>
        <w:rPr>
          <w:rFonts w:ascii="PT Astra Serif" w:eastAsia="PT Astra Serif" w:hAnsi="PT Astra Serif" w:cs="PT Astra Serif"/>
          <w:sz w:val="28"/>
          <w:szCs w:val="28"/>
        </w:rPr>
        <w:t xml:space="preserve"> и о внесении изменений в некоторые законодательные акты РФ»;</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Федеральный закон от 30.12.2009 № 384-ФЗ «О техническом регламенте о безопасности зданий и сооружений»;</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Федеральный закон от 29.12.2004 № 189-ФЗ «О введении в действие Жилищного кодекса Российской Федерации»;</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Федеральный закон от 04.05.2011 № 99-ФЗ «О лицензировании отдельных видов деятельности»;</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Постановление Правительства РФ от 11.06.2013 № 493 «О государственном жилищном надзоре»;</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Постановление Правительства РФ от 28.10.2014г. № 1110 «О лицензировании предпринимательской деятельности по управлению многоквартирными домами»;</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Постановление Правительства РФ от 21.01.2006 № 25 «Об утверждении Правил пользования жилыми помещениями»;</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Постановление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Постановление Правительства РФ от 06.05.2011 № 354 «О предоставлении коммунальных услуг гражданам»;</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Постановление Правительства РФ от 14.05.2013 № 410 «О мерах по обеспечению безопасности при использовании и содержании внутридомового и внутриквартирного газового оборудования»;</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Постановление Правительства РФ от 21.07.2008 № 549 «О порядке поставки газа для обеспечения коммунально-бытовых нужд граждан»;</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Постановление Правительства РФ от 02.10.2009 № 782 «Об утверждении технического регламента о безопасности лифтов»;</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Постановление Правительства РФ от 25.01.2011 № 18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 xml:space="preserve">Постановление Госстроя РФ от 27.09.2003 № 170 «Об </w:t>
      </w:r>
      <w:r w:rsidR="001C3D19">
        <w:rPr>
          <w:rFonts w:ascii="PT Astra Serif" w:eastAsia="PT Astra Serif" w:hAnsi="PT Astra Serif" w:cs="PT Astra Serif"/>
          <w:sz w:val="28"/>
          <w:szCs w:val="28"/>
        </w:rPr>
        <w:t>утверждении правил</w:t>
      </w:r>
      <w:r>
        <w:rPr>
          <w:rFonts w:ascii="PT Astra Serif" w:eastAsia="PT Astra Serif" w:hAnsi="PT Astra Serif" w:cs="PT Astra Serif"/>
          <w:sz w:val="28"/>
          <w:szCs w:val="28"/>
        </w:rPr>
        <w:t xml:space="preserve"> и норм технической эксплуатации жилищного фонда»;</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Приказ Министерства связи и массовых коммуникаций РФ и Министерства строительства и жилищно-коммунального хозяйства РФ от 29.02.2016 № 74/114/пр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Приказ Министерства строительства и жилищно-коммунального хозяйства РФ от 25.12.2015 № 938/пр «Об утверждении Порядка и сроков внесения изменений в реестр лицензий субъекта Российской Федерации»;</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Приказ Министерства строительства и жилищно-коммунального хозяйства РФ от 28.01.2019 № 44/пр «Об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Приказ Министерства экономического 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Приказ Министерства регионального развития РФ от 26.06.2009 № 239 «Об утверждении Порядка содержания и ремонта внутридомового газового оборудования в РФ»;</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Закон Воронежской области от 31.12.2003 № 74-ОЗ «Об административных правонарушениях на территории Воронежской области»;</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Постановление правительства Воронежской области от 08.10.2013 № 872 «О Порядке осуществления регионального государственного жилищного надзора на территории Воронежской области»;</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Административный регламент по исполнению государственной функции «Осуществление регионального государственного жилищного надзора», утвержден приказом Инспекции от 14.05.2014 № 13;</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Административный регламент по исполнению государственной функции «Осуществление лицензионного контроля предпринимательской деятельности по управлению многоквартирными домами», утвержден приказом Инспекции от 19.09.2014 № 27;</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Административный регламент по предоставлению государственной услуги «Лицензирование предпринимательской деятельности по управлению многоквартирными домами», утвержден приказом Инспекции от 19.09.2014 № 28;</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Административный регламент по предоставлению государственной услуги «Аттестация экспертов, привлекаемых инспекцией к проведению мероприятий по региональному государственному жилищному надзору и лицензионному контролю», утвержден приказом Инспекции от 14.03.2016 № 19.</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Проведенный анализ вышеуказанной нормативно-правовой базы, устанавливающей требования к осуществлению деятельности юридических лиц и индивидуальных предпринимателей, соблюдение которых подлежит проверке, а также к проведению контроля и надзора в установленной сфере деятельности, показал, что указанные обязательные требования являются объективными, доступными для юридических лиц и индивидуальных предпринимателей, возможными для исполнения и проведения контроля, признаков коррупциогенности не установлено.</w:t>
      </w:r>
    </w:p>
    <w:p w:rsidR="000B7FD5" w:rsidRDefault="000B7FD5" w:rsidP="000B7FD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Инспекцией обеспечен свободный доступ всех заинтересованных лиц к нормативным правовым актам, устанавливающим обязательные и лицензионные требования, предъявляемые к осуществлению юридическими лицами, индивидуальными предпринимателями деятельности по управлению многоквартирными домами, надзор и контроль за соблюдением которых осуществляет Инспекция, посредством размещения их на официальном сайте Инспекции в информационно-телекоммуникационной сети «Интернет» (http://gzhi.govvrn.ru/).</w:t>
      </w:r>
    </w:p>
    <w:p w:rsidR="00E823FF" w:rsidRPr="00E823FF" w:rsidRDefault="00E823FF" w:rsidP="0083213D">
      <w:pPr>
        <w:rPr>
          <w:sz w:val="32"/>
          <w:szCs w:val="32"/>
        </w:rPr>
      </w:pPr>
    </w:p>
    <w:p w:rsidR="00F31C3C" w:rsidRPr="00755FAF" w:rsidRDefault="00F31C3C" w:rsidP="0083213D">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2.</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886888" w:rsidRPr="00755FAF" w:rsidRDefault="00886888" w:rsidP="00886888">
      <w:pPr>
        <w:rPr>
          <w:sz w:val="32"/>
          <w:szCs w:val="32"/>
        </w:rPr>
      </w:pP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а) Организационную структуру Инспекции составляют 7 отделов: отдел надзора за содержанием многоквартирных домов, отдел надзора за обеспечением газовой безопасности, качества коммунальных услуг и энергоэффективности многоквартирных домов, отдел правового регулирования, отдел лицензирования и ведения реестров, отдел надзора за проведением капитального ремонта и ведения реестра спецсчетов, отдел финансового учета, делопроизводства и информатизации, отдел надзора за начислением платы за коммунальные услуги и установлением нормативов.</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 xml:space="preserve">Руководство Инспекцией осуществляет руководитель Инспекции - главный государственный жилищный инспектор Воронежской области, в подчинение которого находятся два заместителя руководителя инспекции – начальники отделов, а также </w:t>
      </w:r>
      <w:r>
        <w:rPr>
          <w:rFonts w:ascii="PT Astra Serif" w:eastAsia="PT Astra Serif" w:hAnsi="PT Astra Serif" w:cs="PT Astra Serif"/>
          <w:sz w:val="28"/>
          <w:szCs w:val="28"/>
          <w:highlight w:val="white"/>
        </w:rPr>
        <w:t xml:space="preserve">отдел учета, делопроизводства и информатизации. </w:t>
      </w:r>
      <w:r>
        <w:rPr>
          <w:rFonts w:ascii="PT Astra Serif" w:eastAsia="PT Astra Serif" w:hAnsi="PT Astra Serif" w:cs="PT Astra Serif"/>
          <w:sz w:val="28"/>
          <w:szCs w:val="28"/>
        </w:rPr>
        <w:t>Непосредственное руководство отделами осуществляют начальники отделов и заместители руководителя инспекции – начальники отделов, курирующие соответствующие отделы.</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Кроме того, Инспекции подведомственно казенное учреждение Воронежской области «Региональный центр поддержки и развития государственного жилищного надзора», которому частично переданы вспомогательные (обеспечивающие) функции (регистрация обращений граждан, хранение протоколов общих собраний собственников помещений в многоквартирных домах, представление интересов Инспекции в судах).</w:t>
      </w:r>
    </w:p>
    <w:p w:rsidR="00782C70" w:rsidRDefault="009753E5" w:rsidP="00782C70">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 xml:space="preserve">б) В соответствии с указом губернатора Воронежской области от 27.05.2011 № 214-у «Об утверждении Перечня государственных услуг исполнительных органов государственной власти Воронежской области», Положением о государственной жилищной инспекции Воронежской области, утвержденным постановлением правительства Воронежской области от 09.09.2013 № 799, Инспекция осуществляет </w:t>
      </w:r>
    </w:p>
    <w:p w:rsidR="00782C70" w:rsidRDefault="00782C70" w:rsidP="00782C70">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а) Организационную структуру Инспекции составляют 7 отделов: отдел надзора за содержанием многоквартирных домов, отдел надзора за обеспечением газовой безопасности, качества коммунальных услуг и энергоэффективности многоквартирных домов, отдел правового регулирования, отдел лицензирования и ведения реестров, отдел надзора за проведением капитального ремонта и ведения реестра спецсчетов, отдел финансового учета, делопроизводства и информатизации, отдел надзора за начислением платы за коммунальные услуги и установлением нормативов.</w:t>
      </w:r>
    </w:p>
    <w:p w:rsidR="00782C70" w:rsidRDefault="00782C70" w:rsidP="00782C70">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 xml:space="preserve">Руководство Инспекцией осуществляет руководитель Инспекции - главный государственный жилищный инспектор Воронежской области, в подчинение которого находятся два заместителя руководителя инспекции – начальники отделов, а также </w:t>
      </w:r>
      <w:r>
        <w:rPr>
          <w:rFonts w:ascii="PT Astra Serif" w:eastAsia="PT Astra Serif" w:hAnsi="PT Astra Serif" w:cs="PT Astra Serif"/>
          <w:sz w:val="28"/>
          <w:szCs w:val="28"/>
          <w:highlight w:val="white"/>
        </w:rPr>
        <w:t xml:space="preserve">отдел учета, делопроизводства и информатизации. </w:t>
      </w:r>
      <w:r>
        <w:rPr>
          <w:rFonts w:ascii="PT Astra Serif" w:eastAsia="PT Astra Serif" w:hAnsi="PT Astra Serif" w:cs="PT Astra Serif"/>
          <w:sz w:val="28"/>
          <w:szCs w:val="28"/>
        </w:rPr>
        <w:t>Непосредственное руководство отделами осуществляют начальники отделов и заместители руководителя инспекции – начальники отделов, курирующие соответствующие отделы.</w:t>
      </w:r>
    </w:p>
    <w:p w:rsidR="00782C70" w:rsidRDefault="00782C70" w:rsidP="00782C70">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Кроме того, Инспекции подведомственно казенное учреждение Воронежской области «Региональный центр поддержки и развития государственного жилищного надзора», которому частично переданы вспомогательные (обеспечивающие) функции (регистрация обращений граждан, хранение протоколов общих собраний собственников помещений в многоквартирных домах, представление интересов Инспекции в судах).</w:t>
      </w:r>
    </w:p>
    <w:p w:rsidR="00782C70" w:rsidRDefault="00782C70" w:rsidP="00782C70">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б) В соответствии с указом губернатора Воронежской области от 27.05.2011 № 214-у «Об утверждении Перечня государственных услуг исполнительных органов государственной власти Воронежской области», Положением о государственной жилищной инспекции Воронежской области, утвержденным постановлением правительства Воронежской области от 09.09.2013 № 799, Инспекция осуществляет следующие основные государственные функции: 1) осуществление регионального государственного жилищного надзора; 2) осуществление лицензионного контроля предпринимательской деятельности по управлению многоквартирными домами.</w:t>
      </w:r>
    </w:p>
    <w:p w:rsidR="00782C70" w:rsidRDefault="00782C70" w:rsidP="00782C70">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Инспекцией также оказываются государственные услуги: лицензирование предпринимательской деятельности по управлению многоквартирными домами; аттестация экспертов, привлекаемых инспекцией к проведению мероприятий по региональному государственному жилищному надзору и лицензионному контролю.</w:t>
      </w:r>
    </w:p>
    <w:p w:rsidR="00782C70" w:rsidRDefault="00782C70" w:rsidP="00782C70">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К вспомогательным (обеспечивающим) функциям Инспекции можно отнести: 1) рассмотрение обращений граждан; 2) обобщение и анализ информации о результатах исполнения государственных функций и предоставления государственных услуг, представление правительству Воронежской области отчетов о результатах деятельности; 3) осуществление правового регулирования по вопросам, отнесенным к ведению, принятие нормативных правовых актов – приказов в пределах своей компетенции, утверждение административных регламентов предоставления государственных услуг и исполнения государственных функций; 4) выполнение функции государственного заказчика при размещении заказов на поставки товаров, выполнение работ, оказание услуг в подведомственной сфере деятельности; 5) осуществление функции главного распорядителя и получателя средств областного бюджета, предусмотренных на содержание инспекции и реализацию возложенных на нее функций и услуг; 6) организация и проведение мероприятий по обеспечению мобилизационной подготовки инспекции; 7) исполнение и предоставление иных функций и услуг в соответствии с действующим законодательством.</w:t>
      </w:r>
    </w:p>
    <w:p w:rsidR="00782C70" w:rsidRDefault="00782C70" w:rsidP="00782C70">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в) Порядок исполнения государственных функций и услуг Инспекции установлен следующими административными регламентами: 1) административный регламент по исполнению государственной функции «Осуществление регионального государственного жилищного надзора», утвержден приказом Инспекции от 14.05.2014 № 13; 2) административный регламент по исполнению государственной функции «Осуществление лицензионного контроля предпринимательской деятельности по управлению многоквартирными домами», утвержден приказом Инспекции от 19.09.2014 № 27; 3) административный регламент по предоставлению государственной услуги «Лицензирование предпринимательской деятельности по управлению многоквартирными домами», утвержден приказом Инспекции от 19.09.2014 № 28; 4) административный регламент по предоставлению государственной услуги «Аттестация экспертов, привлекаемых инспекцией к проведению мероприятий по региональному государственному жилищному надзору и лицензионному контролю», утвержден приказом Инспекции от 14.03.2016 № 19.</w:t>
      </w:r>
    </w:p>
    <w:p w:rsidR="00782C70" w:rsidRDefault="00782C70" w:rsidP="00782C70">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г) Инспекция в рамках заключенного с управлением Роспотребнадзора по Воронежской области соглашения осуществляет с последним взаимодействие в следующих формах: обмен информацией, необходимой для наиболее полной и эффективной реализации полномочий сторон в соответствии с их компетенцией, с целью совершенствования форм и методов государственного контроля, повышения его эффективности; подготовка предложений по совершенствованию законодательства Российской Федерации и законодательства Воронежской области в сфере реализации и защиты прав потребителей жилищных и коммунальных услуг; планирование и реализация совместных мероприятий по осуществлению государственного контроля с целью выявления и предупреждения нарушений при использовании и содержании жилищного фонда и предоставления коммунальных услуг в части обеспечения прав и законных интересов граждан и государства; организация и проведение совместного обучения, семинаров и совещаний специалистов с целью повышения их профессионального уровня.</w:t>
      </w:r>
    </w:p>
    <w:p w:rsidR="00782C70" w:rsidRDefault="00782C70" w:rsidP="00782C70">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Совместно с управлением Роспотребнадзора по Воронежской области через рассмотрение обращений граждан налажена работа по разъяснению гражданам пределов компетенции обоих органов исполнительной власти, что значительно сокращает сроки рассмотрения обращений, повышает оперативность разрешения поступающих обращений.</w:t>
      </w:r>
    </w:p>
    <w:p w:rsidR="00782C70" w:rsidRDefault="00782C70" w:rsidP="00782C70">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д) В 2017 году создано подведомственное Инспекции учреждение – государственное бюджетное учреждение «Региональный центр поддержки и развития государственного жилищного надзора» (постановление правительства Воронежской области от 12.09.2017 № 711), в настоящее время казенное учреждение Воронежской области «Региональный центр поддержки и развития государственного жилищного надзора».</w:t>
      </w:r>
    </w:p>
    <w:p w:rsidR="00782C70" w:rsidRDefault="00782C70" w:rsidP="00782C70">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Учреждение создано для обеспечения деятельности Инспекции и к проведению мероприятий по контролю (надзору) в 2020 году не привлекалось.</w:t>
      </w:r>
    </w:p>
    <w:p w:rsidR="00782C70" w:rsidRDefault="00782C70" w:rsidP="00782C70">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е) Аккредитация юридических лиц и граждан в качестве экспертных организаций и экспертов, привлекаемых к выполнению мероприятий по контролю при проведении проверок не проводилась.</w:t>
      </w:r>
    </w:p>
    <w:p w:rsidR="00001278" w:rsidRPr="00755FAF" w:rsidRDefault="00001278" w:rsidP="00886888">
      <w:pPr>
        <w:rPr>
          <w:sz w:val="32"/>
          <w:szCs w:val="32"/>
        </w:rPr>
      </w:pPr>
    </w:p>
    <w:p w:rsidR="00001278" w:rsidRPr="00755FAF" w:rsidRDefault="0000127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886888" w:rsidRPr="00755FAF" w:rsidRDefault="00886888" w:rsidP="00886888">
      <w:pPr>
        <w:rPr>
          <w:sz w:val="32"/>
          <w:szCs w:val="32"/>
        </w:rPr>
      </w:pP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а) Финансирование Инспекции осуществляется за счет средств областного бюджета Воронежской области.</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highlight w:val="white"/>
        </w:rPr>
        <w:t>Законом Воронежской области от 20.12.2019 № 154-ОЗ «Об областном бюджете на 2020 год и на плановый период 2021 и 2022 годов» плановое значение объема ассигнований на обеспечение Инспекции в 2020 году составило 53275 тыс. руб. (АППГ – 51592,7 тыс. руб.), в расчете на объем исполненных в 2020 году</w:t>
      </w:r>
      <w:r>
        <w:rPr>
          <w:rFonts w:ascii="PT Astra Serif" w:eastAsia="PT Astra Serif" w:hAnsi="PT Astra Serif" w:cs="PT Astra Serif"/>
          <w:sz w:val="28"/>
          <w:szCs w:val="28"/>
        </w:rPr>
        <w:t xml:space="preserve"> надзорных функций– 44,54 тыс. руб. на 1 проверку.</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 xml:space="preserve">б) Штатная численность Инспекции составляет </w:t>
      </w:r>
      <w:r>
        <w:rPr>
          <w:rFonts w:ascii="PT Astra Serif" w:eastAsia="PT Astra Serif" w:hAnsi="PT Astra Serif" w:cs="PT Astra Serif"/>
          <w:sz w:val="28"/>
          <w:szCs w:val="28"/>
          <w:highlight w:val="white"/>
        </w:rPr>
        <w:t xml:space="preserve">58 </w:t>
      </w:r>
      <w:r>
        <w:rPr>
          <w:rFonts w:ascii="PT Astra Serif" w:eastAsia="PT Astra Serif" w:hAnsi="PT Astra Serif" w:cs="PT Astra Serif"/>
          <w:sz w:val="28"/>
          <w:szCs w:val="28"/>
        </w:rPr>
        <w:t>единиц (АППГ – 58), из них 50 единиц (АППГ – 50) – государственные жилищные инспекторы.</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Фактическая численность Инспекции 57 единицы, из них 49 государственных жилищных инспекторов.</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 xml:space="preserve">в) Сведения о квалификации работников Инспекции: </w:t>
      </w:r>
      <w:r>
        <w:rPr>
          <w:rFonts w:ascii="PT Astra Serif" w:eastAsia="PT Astra Serif" w:hAnsi="PT Astra Serif" w:cs="PT Astra Serif"/>
          <w:sz w:val="28"/>
          <w:szCs w:val="28"/>
          <w:highlight w:val="white"/>
        </w:rPr>
        <w:t>23 – Юрист, 19 -Инженер, 2 – Менеджер, 8 –Экономист, 1 – Журналист.</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 xml:space="preserve">В </w:t>
      </w:r>
      <w:r>
        <w:rPr>
          <w:rFonts w:ascii="PT Astra Serif" w:eastAsia="PT Astra Serif" w:hAnsi="PT Astra Serif" w:cs="PT Astra Serif"/>
          <w:sz w:val="28"/>
          <w:szCs w:val="28"/>
          <w:highlight w:val="white"/>
        </w:rPr>
        <w:t>20</w:t>
      </w:r>
      <w:r>
        <w:rPr>
          <w:rFonts w:ascii="PT Astra Serif" w:eastAsia="PT Astra Serif" w:hAnsi="PT Astra Serif" w:cs="PT Astra Serif"/>
          <w:sz w:val="28"/>
          <w:szCs w:val="28"/>
        </w:rPr>
        <w:t>20 году 26 (АППГ – 13) работников Инспекции получили дополнительное профессиональное образование (повышение квалификации),</w:t>
      </w:r>
      <w:r>
        <w:rPr>
          <w:rFonts w:ascii="PT Astra Serif" w:eastAsia="PT Astra Serif" w:hAnsi="PT Astra Serif" w:cs="PT Astra Serif"/>
          <w:sz w:val="28"/>
        </w:rPr>
        <w:t xml:space="preserve"> в т.ч.: 1- по программе «Основы цифровой трансформации в государственном и муниципальном управлении»,  4  - «Введение в должность государственного гражданского служащего: эффективный старт», 4 - «Правовое регулирование государственного и муниципального управления», 1 - «Реформирование контрольно-надзорной деятельности органов государственной власти: построение эффективной системы», 1 - «Использование переговорных (антиконфликтных) технологий в профессиональной деятельности государственных гражданских служащих», 1 - «Основы бережливого управления в органах исполнительной власти», 2 – «Приоритетные направления развития государственной гражданской службы», 1 - «Эффективное общение в структуре профессиональной компетентности государственных гражданских служащих», 7 – «Кибербезопасность и защита данных» на тему: «Организация обработки и обеспечение безопасности персональных данных в органах государственной власти и местного самоуправления», 2 – «Актуальные вопросы реализации законодательства о предоставлении государственных и муниципальных услуг», 8 - «Большие данные. Государственные данные и услуги», 4 - «Цифровой маркетинг и медиа. Продвижение в социальных сетях и мессенджерах», 2 - «Системное администрирование» на тему «Организация удаленной работы в НЕ-ИТ сфере», 1 – «Организация предоставления государственных и муниципальных услуг в электронной форме. Цифровая трансформация государственного и муниципального управления», 1 - «Обработка и анализ больших данных», 1 - «SMM-маркетинг».</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г) Средняя нагрузка на одного государственного жилищного инспектора по фактически выполненному в отчетном периоде объему функций по контролю составила: по проведенным проверкам 24</w:t>
      </w:r>
      <w:r>
        <w:rPr>
          <w:rFonts w:ascii="PT Astra Serif" w:eastAsia="PT Astra Serif" w:hAnsi="PT Astra Serif" w:cs="PT Astra Serif"/>
          <w:sz w:val="28"/>
          <w:szCs w:val="28"/>
          <w:highlight w:val="white"/>
        </w:rPr>
        <w:t xml:space="preserve"> шт. (АППГ – 103); по рассмотренным обращениям 440 шт. (АППГ – 560); по выданным предписаниям 7 шт. (АППГ - 23); по выявленным нарушениям 32 шт.; по составленным протоколам – 8 шт. (АППГ - 32); по наложенным штрафам – 166,92 тыс. руб. (АППГ - 623,02); по взысканным штрафам – 190,11 тыс. руб.</w:t>
      </w:r>
      <w:r>
        <w:rPr>
          <w:rFonts w:ascii="PT Astra Serif" w:eastAsia="PT Astra Serif" w:hAnsi="PT Astra Serif" w:cs="PT Astra Serif"/>
          <w:sz w:val="28"/>
          <w:szCs w:val="28"/>
        </w:rPr>
        <w:t xml:space="preserve"> (АППГ - 863,06), с учетом поступлений начисленных в прошлых периодов.</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д) Эксперты и представители экспертных организаций, к проведению мероприятий по контролю не привлекались.</w:t>
      </w:r>
    </w:p>
    <w:p w:rsidR="00001278" w:rsidRPr="00755FAF" w:rsidRDefault="00001278" w:rsidP="00886888">
      <w:pPr>
        <w:rPr>
          <w:sz w:val="32"/>
          <w:szCs w:val="32"/>
        </w:rPr>
      </w:pP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4.</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886888" w:rsidRPr="00755FAF" w:rsidRDefault="00886888" w:rsidP="00886888">
      <w:pPr>
        <w:rPr>
          <w:sz w:val="32"/>
          <w:szCs w:val="32"/>
        </w:rPr>
      </w:pP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а) Площадь жилищного фонда Воронежской области составляет 73093,1 тыс. кв. м., количество домов, расположенных на территории области – 10315. По состоянию на 31.12.2020 количество управляющих организаций, товариществ собственников жилья, жилищных кооперативов, осуществляющих деятельность по управлению МКД на территории области, составляет 758 единиц.</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В 2020 году в Инспекцию поступило 21562 (АППГ - 2522</w:t>
      </w:r>
      <w:r w:rsidR="0078199F">
        <w:rPr>
          <w:rFonts w:ascii="PT Astra Serif" w:eastAsia="PT Astra Serif" w:hAnsi="PT Astra Serif" w:cs="PT Astra Serif"/>
          <w:sz w:val="28"/>
          <w:szCs w:val="28"/>
        </w:rPr>
        <w:t>4</w:t>
      </w:r>
      <w:r>
        <w:rPr>
          <w:rFonts w:ascii="PT Astra Serif" w:eastAsia="PT Astra Serif" w:hAnsi="PT Astra Serif" w:cs="PT Astra Serif"/>
          <w:sz w:val="28"/>
          <w:szCs w:val="28"/>
        </w:rPr>
        <w:t>) письменных обращения физических и юридических лиц.</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 xml:space="preserve">Отклонение вызвано внедрением в деятельность Инспекции инструментов бережливого управления, системы оперативного реагирования на обращения граждан (далее – СОПР), в рамках которой Инспекцией с поднадзорными субъектами заключены соглашения об информационном взаимодействии, по условиям которых информация об отдельных категориях обращений граждан </w:t>
      </w:r>
      <w:bookmarkStart w:id="0" w:name="_GoBack"/>
      <w:bookmarkEnd w:id="0"/>
      <w:r>
        <w:rPr>
          <w:rFonts w:ascii="PT Astra Serif" w:eastAsia="PT Astra Serif" w:hAnsi="PT Astra Serif" w:cs="PT Astra Serif"/>
          <w:sz w:val="28"/>
          <w:szCs w:val="28"/>
        </w:rPr>
        <w:t>направляется Инспекцией в электронном виде поднадзорным субъектам, которые, в свою очередь, принимают меры по устранению проблем указанных в обращении в 3-дневный срок, информация об устранении данных проблем с подтверждающими документами направляется в Инспекцию. Внедрение данных практик позволило сократить количество обращений граждан и организаций в Инспекцию, в т.ч. повторных, поскольку проблемы разрешаются более оперативно, нежели в «классической» форме взаимодействия с организацией и проведением внеплановых проверок по обращениям.</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При рассмотрении поступивших за 2020 год обращений Инспекцией проведено 1196 (АППГ – 4659) внеплановых проверок. Отклонение вызвано проведением Инспекцией мероприятий по профилактике нарушений обязательных требований, укрупнение проверок в отношении одних и тех же субъектов по обращениям граждан, поступившим приблизительно в одно и то же время. Основными причинами сокращения количества внеплановых проверок послужили внедрение в деятельности Инспекции упомянутого СОПРа, а также установление моратория на проведение проверок (постановление Правительства Российской Федерации от 03.04.2020 №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(далее – Постановление № 438)).</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На основании согласованного с прокуратурой Воронежской области и плана проведения плановых проверок органов местного самоуправления и должностных лиц местного самоуправления на 2020 год проведено 6 (АППГ - 3) плановых проверок.</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Удельный вес выполнения за отчетный период утвержденных ежегодных планов проведения проверок составляет 100 % (АППГ – 100 %).</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В ходе проведения контрольных мероприятий выявлено 562 (АППГ – 1415) нарушения обязательных требований жилищного законодательства, выдано 334 (АППГ – 1074) предписания.</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При проведении плановых и внеплановых мероприятий по контролю за 2020 год сотрудниками инспекции выявлено 562 нарушения обязательных требований жилищного законодательства из них:</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w:t>
      </w:r>
      <w:r>
        <w:rPr>
          <w:rFonts w:ascii="PT Astra Serif" w:eastAsia="PT Astra Serif" w:hAnsi="PT Astra Serif" w:cs="PT Astra Serif"/>
          <w:sz w:val="28"/>
          <w:szCs w:val="28"/>
        </w:rPr>
        <w:tab/>
        <w:t xml:space="preserve">нарушения правил и норм технической эксплуатации жилищного фонда </w:t>
      </w:r>
      <w:r>
        <w:rPr>
          <w:rFonts w:ascii="PT Astra Serif" w:eastAsia="PT Astra Serif" w:hAnsi="PT Astra Serif" w:cs="PT Astra Serif"/>
          <w:sz w:val="28"/>
          <w:szCs w:val="28"/>
          <w:highlight w:val="white"/>
        </w:rPr>
        <w:t xml:space="preserve">– </w:t>
      </w:r>
      <w:r>
        <w:rPr>
          <w:rFonts w:ascii="PT Astra Serif" w:eastAsia="PT Astra Serif" w:hAnsi="PT Astra Serif" w:cs="PT Astra Serif"/>
          <w:sz w:val="28"/>
          <w:szCs w:val="28"/>
        </w:rPr>
        <w:t xml:space="preserve">378 (АППГ – </w:t>
      </w:r>
      <w:r>
        <w:rPr>
          <w:rFonts w:ascii="PT Astra Serif" w:eastAsia="PT Astra Serif" w:hAnsi="PT Astra Serif" w:cs="PT Astra Serif"/>
          <w:sz w:val="28"/>
          <w:szCs w:val="28"/>
          <w:highlight w:val="white"/>
        </w:rPr>
        <w:t>680</w:t>
      </w:r>
      <w:r>
        <w:rPr>
          <w:rFonts w:ascii="PT Astra Serif" w:eastAsia="PT Astra Serif" w:hAnsi="PT Astra Serif" w:cs="PT Astra Serif"/>
          <w:sz w:val="28"/>
          <w:szCs w:val="28"/>
        </w:rPr>
        <w:t>);</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w:t>
      </w:r>
      <w:r>
        <w:rPr>
          <w:rFonts w:ascii="PT Astra Serif" w:eastAsia="PT Astra Serif" w:hAnsi="PT Astra Serif" w:cs="PT Astra Serif"/>
          <w:sz w:val="28"/>
          <w:szCs w:val="28"/>
        </w:rPr>
        <w:tab/>
        <w:t>некачественное предоставление коммунальных услуг населению – 46 (АППГ – 239);</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w:t>
      </w:r>
      <w:r>
        <w:rPr>
          <w:rFonts w:ascii="PT Astra Serif" w:eastAsia="PT Astra Serif" w:hAnsi="PT Astra Serif" w:cs="PT Astra Serif"/>
          <w:sz w:val="28"/>
          <w:szCs w:val="28"/>
        </w:rPr>
        <w:tab/>
        <w:t>нарушения требований законодательства о раскрытии информации – 0 (АППГ – 39);</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w:t>
      </w:r>
      <w:r>
        <w:rPr>
          <w:rFonts w:ascii="PT Astra Serif" w:eastAsia="PT Astra Serif" w:hAnsi="PT Astra Serif" w:cs="PT Astra Serif"/>
          <w:sz w:val="28"/>
          <w:szCs w:val="28"/>
        </w:rPr>
        <w:tab/>
        <w:t>нарушения порядка расчета внесения платы за жилищно - коммунальные услуги – 56 (АППГ – 212);</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w:t>
      </w:r>
      <w:r>
        <w:rPr>
          <w:rFonts w:ascii="PT Astra Serif" w:eastAsia="PT Astra Serif" w:hAnsi="PT Astra Serif" w:cs="PT Astra Serif"/>
          <w:sz w:val="28"/>
          <w:szCs w:val="28"/>
        </w:rPr>
        <w:tab/>
        <w:t>нарушения правил управления многоквартирными домами – 3 (АППГ – 20);</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w:t>
      </w:r>
      <w:r>
        <w:rPr>
          <w:rFonts w:ascii="PT Astra Serif" w:eastAsia="PT Astra Serif" w:hAnsi="PT Astra Serif" w:cs="PT Astra Serif"/>
          <w:sz w:val="28"/>
          <w:szCs w:val="28"/>
        </w:rPr>
        <w:tab/>
        <w:t>неисполнение предписаний – 9 (АППГ – 31);</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w:t>
      </w:r>
      <w:r>
        <w:rPr>
          <w:rFonts w:ascii="PT Astra Serif" w:eastAsia="PT Astra Serif" w:hAnsi="PT Astra Serif" w:cs="PT Astra Serif"/>
          <w:sz w:val="28"/>
          <w:szCs w:val="28"/>
        </w:rPr>
        <w:tab/>
        <w:t>нарушения правил пользования жилыми помещениями – 44 (АППГ – 31);</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w:t>
      </w:r>
      <w:r>
        <w:rPr>
          <w:rFonts w:ascii="PT Astra Serif" w:eastAsia="PT Astra Serif" w:hAnsi="PT Astra Serif" w:cs="PT Astra Serif"/>
          <w:sz w:val="28"/>
          <w:szCs w:val="28"/>
        </w:rPr>
        <w:tab/>
        <w:t>прочие нарушения – 19 (АППГ – 9);</w:t>
      </w:r>
    </w:p>
    <w:p w:rsidR="009753E5" w:rsidRDefault="009753E5" w:rsidP="009753E5">
      <w:pPr>
        <w:pStyle w:val="a9"/>
        <w:numPr>
          <w:ilvl w:val="0"/>
          <w:numId w:val="1"/>
        </w:numPr>
        <w:spacing w:line="360" w:lineRule="auto"/>
        <w:ind w:left="0" w:firstLine="709"/>
        <w:jc w:val="both"/>
        <w:rPr>
          <w:rFonts w:ascii="PT Astra Serif" w:eastAsia="PT Astra Serif" w:hAnsi="PT Astra Serif" w:cs="PT Astra Serif"/>
          <w:sz w:val="28"/>
          <w:szCs w:val="28"/>
        </w:rPr>
      </w:pPr>
      <w:r>
        <w:rPr>
          <w:rFonts w:ascii="PT Astra Serif" w:eastAsia="PT Astra Serif" w:hAnsi="PT Astra Serif" w:cs="PT Astra Serif"/>
          <w:sz w:val="28"/>
          <w:szCs w:val="28"/>
        </w:rPr>
        <w:t>грубые нарушения лицензионных требований - 3 (АППГ - 7);</w:t>
      </w:r>
    </w:p>
    <w:p w:rsidR="009753E5" w:rsidRDefault="009753E5" w:rsidP="009753E5">
      <w:pPr>
        <w:pStyle w:val="a9"/>
        <w:numPr>
          <w:ilvl w:val="0"/>
          <w:numId w:val="1"/>
        </w:numPr>
        <w:spacing w:line="360" w:lineRule="auto"/>
        <w:ind w:left="0" w:firstLine="709"/>
        <w:jc w:val="both"/>
        <w:rPr>
          <w:rFonts w:ascii="PT Astra Serif" w:eastAsia="PT Astra Serif" w:hAnsi="PT Astra Serif" w:cs="PT Astra Serif"/>
          <w:sz w:val="28"/>
          <w:szCs w:val="28"/>
        </w:rPr>
      </w:pPr>
      <w:r>
        <w:rPr>
          <w:rFonts w:ascii="PT Astra Serif" w:eastAsia="PT Astra Serif" w:hAnsi="PT Astra Serif" w:cs="PT Astra Serif"/>
          <w:sz w:val="28"/>
          <w:szCs w:val="28"/>
        </w:rPr>
        <w:t>нарушения по вопросам подготовки и прохождения отопительного периода - 3 (АППГ - 34).</w:t>
      </w:r>
    </w:p>
    <w:p w:rsidR="009753E5" w:rsidRDefault="009753E5" w:rsidP="009753E5">
      <w:pPr>
        <w:spacing w:line="360" w:lineRule="auto"/>
        <w:ind w:firstLine="709"/>
        <w:jc w:val="both"/>
        <w:rPr>
          <w:rFonts w:ascii="PT Astra Serif" w:eastAsia="PT Astra Serif" w:hAnsi="PT Astra Serif" w:cs="PT Astra Serif"/>
          <w:sz w:val="28"/>
          <w:szCs w:val="28"/>
        </w:rPr>
      </w:pPr>
      <w:r>
        <w:rPr>
          <w:rFonts w:ascii="PT Astra Serif" w:eastAsia="PT Astra Serif" w:hAnsi="PT Astra Serif" w:cs="PT Astra Serif"/>
          <w:sz w:val="28"/>
          <w:szCs w:val="28"/>
        </w:rPr>
        <w:t>Отклонение с АППГ вызвано с действием упомянутого выше моратория на проведение проверок, установленного Постановлением № 438.</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б) Эксперты и экспертные организации к проведению мероприятий по контролю не привлекались, ввиду отсутствия соответствующего финансирования.</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в) 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отсутствуют.</w:t>
      </w:r>
    </w:p>
    <w:p w:rsidR="00001278" w:rsidRPr="00755FAF" w:rsidRDefault="00001278" w:rsidP="00886888">
      <w:pPr>
        <w:rPr>
          <w:sz w:val="32"/>
          <w:szCs w:val="32"/>
        </w:rPr>
      </w:pP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rsidR="00886888" w:rsidRDefault="00886888" w:rsidP="00886888">
      <w:pPr>
        <w:rPr>
          <w:sz w:val="32"/>
          <w:szCs w:val="32"/>
        </w:rPr>
      </w:pPr>
    </w:p>
    <w:p w:rsidR="005542D8" w:rsidRDefault="005542D8" w:rsidP="00886888">
      <w:pPr>
        <w:rPr>
          <w:sz w:val="32"/>
          <w:szCs w:val="32"/>
        </w:rPr>
      </w:pP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а) В 2020 году по результатам плановых и внеплановых проверок организациям, должностным лицам и физическим лицам предъявлено штрафных санкций на сумму 8179,5 тыс. руб.</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Фактически поступило в бюджет Воронежской области и городского округа город Воронеж поступило 9132,2 тыс. руб., в т.ч. платежи по начислениям прошлых периодов.</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Инспекцией рассмотрено 273 дела об административных правонарушениях, из которых 1 отменено судом, 1 вышестоящим должностным лицом.</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 xml:space="preserve">б) В целях предотвращения нарушений подконтрольных субъектов на официальном сайте на главной странице в рубриках «Результаты работы» и «Информация для управляющих организаций», в разделах сайта «Новости», «Жилищный надзор», «Капитальный ремонт» постоянно публикуется информация по вопросам соблюдения обязательных требований и об изменениях в них. </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В указанных разделах сайта систематически размещается информация о практике осуществления инспекцией контрольно-надзорной деятельности, указываются наиболее часто выявляемые нарушения обязательных требований с рекомендациями о мерах, которые необходимо предпринять в целях недопущения нарушений.</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в) В целях недопущения нарушений требований законодательства при осуществлении государственного контроля (надзора) в отношении юридических лиц и индивидуальных предпринимателей применены меры дисциплинарного воздействия к должностным лицам Инспекции. С инспекторским составом проведены соответствующие совещания, на которых было обращено особое внимание на неукоснительное соблюдение требований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01278" w:rsidRPr="00755FAF" w:rsidRDefault="00001278" w:rsidP="00886888">
      <w:pPr>
        <w:rPr>
          <w:sz w:val="32"/>
          <w:szCs w:val="32"/>
        </w:rPr>
      </w:pP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Анализ и оценка эффективности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886888" w:rsidRDefault="00886888" w:rsidP="00886888">
      <w:pPr>
        <w:rPr>
          <w:sz w:val="32"/>
          <w:szCs w:val="32"/>
        </w:rPr>
      </w:pP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Выполнение утвержденного плана проведения плановых проверок (в процентах от общего количества запланированных проверок) составило 100 % (АППГ – 100 %);</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Доля заявлений Инспекции,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составила 17,91 % (АППГ – н.д.);</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Доля проверок, результаты которых признаны недействительными (в процентах от общего числа проведенных проверок) 1,3 % (АППГ – 0, отклонение 0);</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Доля проверок, проведенных Инспекцией с нарушениями требований законодательства Российской Федерации о порядке их проведения, по результатам выявления которых к должностным лицам Инспекции, осуществившим такие проверки, применены меры дисциплинарного, административного наказания (в процентах от общего числа проведенных проверок) составила 0,16 % (АППГ – н.д.);</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 xml:space="preserve">Доля юридических лиц, индивидуальных предпринимателей, в отношении которых Инспекцией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23,3 % (АППГ – </w:t>
      </w:r>
      <w:r>
        <w:rPr>
          <w:rFonts w:ascii="PT Astra Serif" w:eastAsia="PT Astra Serif" w:hAnsi="PT Astra Serif" w:cs="PT Astra Serif"/>
          <w:sz w:val="28"/>
          <w:szCs w:val="28"/>
          <w:highlight w:val="white"/>
        </w:rPr>
        <w:t>36,7</w:t>
      </w:r>
      <w:r>
        <w:rPr>
          <w:rFonts w:ascii="PT Astra Serif" w:eastAsia="PT Astra Serif" w:hAnsi="PT Astra Serif" w:cs="PT Astra Serif"/>
          <w:sz w:val="28"/>
          <w:szCs w:val="28"/>
        </w:rPr>
        <w:t xml:space="preserve"> %, отклонение -13,4 %);</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 xml:space="preserve">Среднее количество проверок, проведенных в отношении одного юридического лица, индивидуального предпринимателя 6,79 (АППГ – </w:t>
      </w:r>
      <w:r>
        <w:rPr>
          <w:rFonts w:ascii="PT Astra Serif" w:eastAsia="PT Astra Serif" w:hAnsi="PT Astra Serif" w:cs="PT Astra Serif"/>
          <w:sz w:val="28"/>
          <w:szCs w:val="28"/>
          <w:highlight w:val="white"/>
        </w:rPr>
        <w:t>2,7</w:t>
      </w:r>
      <w:r>
        <w:rPr>
          <w:rFonts w:ascii="PT Astra Serif" w:eastAsia="PT Astra Serif" w:hAnsi="PT Astra Serif" w:cs="PT Astra Serif"/>
          <w:sz w:val="28"/>
          <w:szCs w:val="28"/>
        </w:rPr>
        <w:t>, отклонение +4,05);</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Доля проведенных внеплановых проверок (в процентах общего количества проведенных проверок) 99,51 % (АППГ – 99,93 %, отклонение +0,42 %);</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Доля правонарушений, выявленных по итогам проведения внеплановых проверок (в процентах общего числа правонарушений, выявленных по итогам проверок) 99,65 % (АППГ – 96,53, отклонение +3,12 %);</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u w:val="single"/>
        </w:rPr>
        <w:t>Доля внеплановых</w:t>
      </w:r>
      <w:r>
        <w:rPr>
          <w:rFonts w:ascii="PT Astra Serif" w:eastAsia="PT Astra Serif" w:hAnsi="PT Astra Serif" w:cs="PT Astra Serif"/>
          <w:sz w:val="28"/>
          <w:szCs w:val="28"/>
        </w:rPr>
        <w:t xml:space="preserve">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13,1 % (АППГ – н.д.);</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u w:val="single"/>
        </w:rPr>
        <w:t>Доля внеплановых</w:t>
      </w:r>
      <w:r>
        <w:rPr>
          <w:rFonts w:ascii="PT Astra Serif" w:eastAsia="PT Astra Serif" w:hAnsi="PT Astra Serif" w:cs="PT Astra Serif"/>
          <w:sz w:val="28"/>
          <w:szCs w:val="28"/>
        </w:rPr>
        <w:t xml:space="preserve">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0,16 % (АППГ – 0, отклонение +0,16%);</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u w:val="single"/>
        </w:rPr>
        <w:t>Доля проверок</w:t>
      </w:r>
      <w:r>
        <w:rPr>
          <w:rFonts w:ascii="PT Astra Serif" w:eastAsia="PT Astra Serif" w:hAnsi="PT Astra Serif" w:cs="PT Astra Serif"/>
          <w:sz w:val="28"/>
          <w:szCs w:val="28"/>
        </w:rPr>
        <w:t>, по итогам которых выявлены правонарушения (в процентах общего числа проведенных плановых и внеплановых проверок) 46,75 % (АППГ – 30,35 %, отклонение – +16,4 %).</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u w:val="single"/>
        </w:rPr>
        <w:t>Доля проверок</w:t>
      </w:r>
      <w:r>
        <w:rPr>
          <w:rFonts w:ascii="PT Astra Serif" w:eastAsia="PT Astra Serif" w:hAnsi="PT Astra Serif" w:cs="PT Astra Serif"/>
          <w:sz w:val="28"/>
          <w:szCs w:val="28"/>
        </w:rPr>
        <w:t>,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66,7 % (н.д.).</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Расхождение обусловлено уменьшением количества дел об административных правонарушениях, в частности, предусмотренных статьей 19.7 КоАП РФ, возбуждение которых осуществлялось вне проверки, по факту не представления систематически представляемых документов (отчетности);</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u w:val="single"/>
        </w:rPr>
        <w:t>Доля проверок</w:t>
      </w:r>
      <w:r>
        <w:rPr>
          <w:rFonts w:ascii="PT Astra Serif" w:eastAsia="PT Astra Serif" w:hAnsi="PT Astra Serif" w:cs="PT Astra Serif"/>
          <w:sz w:val="28"/>
          <w:szCs w:val="28"/>
        </w:rPr>
        <w:t>,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66,72 % (АППГ – н.д.);</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u w:val="single"/>
        </w:rPr>
        <w:t>Доля юридических</w:t>
      </w:r>
      <w:r>
        <w:rPr>
          <w:rFonts w:ascii="PT Astra Serif" w:eastAsia="PT Astra Serif" w:hAnsi="PT Astra Serif" w:cs="PT Astra Serif"/>
          <w:sz w:val="28"/>
          <w:szCs w:val="28"/>
        </w:rPr>
        <w:t xml:space="preserve">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39,3% (н.д.);</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u w:val="single"/>
        </w:rPr>
        <w:t>Доля юридических</w:t>
      </w:r>
      <w:r>
        <w:rPr>
          <w:rFonts w:ascii="PT Astra Serif" w:eastAsia="PT Astra Serif" w:hAnsi="PT Astra Serif" w:cs="PT Astra Serif"/>
          <w:sz w:val="28"/>
          <w:szCs w:val="28"/>
        </w:rPr>
        <w:t xml:space="preserve">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1,13% (АППГ – н.д.);</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u w:val="single"/>
        </w:rPr>
        <w:t>Количество случаев</w:t>
      </w:r>
      <w:r>
        <w:rPr>
          <w:rFonts w:ascii="PT Astra Serif" w:eastAsia="PT Astra Serif" w:hAnsi="PT Astra Serif" w:cs="PT Astra Serif"/>
          <w:sz w:val="28"/>
          <w:szCs w:val="28"/>
        </w:rPr>
        <w:t xml:space="preserve">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2 (АППГ – н.д.);</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highlight w:val="white"/>
          <w:u w:val="single"/>
        </w:rPr>
        <w:t>Доля выявленных при проведении</w:t>
      </w:r>
      <w:r>
        <w:rPr>
          <w:rFonts w:ascii="PT Astra Serif" w:eastAsia="PT Astra Serif" w:hAnsi="PT Astra Serif" w:cs="PT Astra Serif"/>
          <w:sz w:val="28"/>
          <w:szCs w:val="28"/>
        </w:rPr>
        <w:t xml:space="preserve"> проверок правонарушений, связанных с неисполнением предписаний (в процентах общего числа выявленных правонарушений) 1,6 % (АППГ – 2 %, отклонение -0,4 %);</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u w:val="single"/>
        </w:rPr>
        <w:t>Отношение суммы</w:t>
      </w:r>
      <w:r>
        <w:rPr>
          <w:rFonts w:ascii="PT Astra Serif" w:eastAsia="PT Astra Serif" w:hAnsi="PT Astra Serif" w:cs="PT Astra Serif"/>
          <w:sz w:val="28"/>
          <w:szCs w:val="28"/>
        </w:rPr>
        <w:t xml:space="preserve"> взысканных административных штрафов к общей сумме наложенных административных штрафов (в процентах) 111,6 % (АППГ – 138,52 %, отклонение -26,92 %) Отклонение объясняется оплатой дебиторской задолженности сформированной в прошлые периоды, активной работой по возбуждению дел об административных правонарушениях, предусмотренных частью 1 статьи 20.25 КоАП РФ.</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u w:val="single"/>
        </w:rPr>
        <w:t>Средний размер</w:t>
      </w:r>
      <w:r>
        <w:rPr>
          <w:rFonts w:ascii="PT Astra Serif" w:eastAsia="PT Astra Serif" w:hAnsi="PT Astra Serif" w:cs="PT Astra Serif"/>
          <w:sz w:val="28"/>
          <w:szCs w:val="28"/>
        </w:rPr>
        <w:t xml:space="preserve"> наложенного административного штрафа в том числе на должностных лиц и юридических лиц (в тыс. рублей) составляет: на должностное лицо 23,55 тыс. руб. (АППГ 27,85 тыс. руб.), на юридическое 46,21 тыс. руб. лицо (АППГ 62,94 тыс. руб.).</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u w:val="single"/>
        </w:rPr>
        <w:t>Доля проверок</w:t>
      </w:r>
      <w:r>
        <w:rPr>
          <w:rFonts w:ascii="PT Astra Serif" w:eastAsia="PT Astra Serif" w:hAnsi="PT Astra Serif" w:cs="PT Astra Serif"/>
          <w:sz w:val="28"/>
          <w:szCs w:val="28"/>
        </w:rPr>
        <w:t>,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 0 (АППГ – 0, отклонение 0).</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В ходе проведения контрольных и надзорных мероприятий сотрудники Инспекции ведут разъяснительную работу, направленную на формирование активной гражданской позиции у собственников помещений в многоквартирных домах по управлению своим имуществом, в том числе и через средства массовой информации. По вопросам в сфере жилищных правоотношений в 2020 году Инспекцией размещалась соответствующая информация на официальном сайте в сети Интернет.</w:t>
      </w:r>
    </w:p>
    <w:p w:rsidR="009753E5" w:rsidRDefault="009753E5" w:rsidP="009753E5">
      <w:pPr>
        <w:spacing w:line="360" w:lineRule="auto"/>
        <w:ind w:firstLine="709"/>
        <w:contextualSpacing/>
        <w:jc w:val="both"/>
      </w:pPr>
      <w:r>
        <w:rPr>
          <w:rFonts w:ascii="PT Astra Serif" w:eastAsia="PT Astra Serif" w:hAnsi="PT Astra Serif" w:cs="PT Astra Serif"/>
          <w:sz w:val="28"/>
          <w:szCs w:val="28"/>
        </w:rPr>
        <w:t>В Инспекции утверждены ключевые показатели контрольно-надзорной деятельности и их паспорта.</w:t>
      </w:r>
    </w:p>
    <w:p w:rsidR="009753E5" w:rsidRDefault="009753E5" w:rsidP="009753E5">
      <w:pPr>
        <w:spacing w:line="360" w:lineRule="auto"/>
        <w:ind w:firstLine="709"/>
        <w:contextualSpacing/>
        <w:jc w:val="both"/>
      </w:pPr>
      <w:r>
        <w:rPr>
          <w:rFonts w:ascii="PT Astra Serif" w:eastAsia="PT Astra Serif" w:hAnsi="PT Astra Serif" w:cs="PT Astra Serif"/>
          <w:sz w:val="28"/>
          <w:szCs w:val="28"/>
        </w:rPr>
        <w:t>Приказом Инспекции от 10.12.2019 № 233 «Об оценки результативности и эффективности контрольно-надзорной деятельности государственной жилищной инспекции Воронежской области по осуществлению лицензионного контроля предпринимательской деятельности по управлению многоквартирными домами» утверждены Методика оценки результативности и эффективности контрольно-надзорной деятельности государственной жилищной инспекции Воронежской области по осуществлению лицензионного контроля предпринимательской деятельности по управлению многоквартирными домами, Перечень показателей результативности и эффективности контрольно-надзорной деятельности государственной жилищной инспекции Воронежской области по осуществлению лицензионного контроля предпринимательской деятельности по управлению многоквартирными домами; паспорта ключевых показателей результативности и эффективности контрольно-надзорной деятельности по осуществлению лицензионного контроля предпринимательской деятельности по управлению многоквартирными домами;</w:t>
      </w:r>
    </w:p>
    <w:p w:rsidR="009753E5" w:rsidRDefault="009753E5" w:rsidP="009753E5">
      <w:pPr>
        <w:spacing w:line="360" w:lineRule="auto"/>
        <w:ind w:firstLine="709"/>
        <w:contextualSpacing/>
        <w:jc w:val="both"/>
      </w:pPr>
      <w:r>
        <w:rPr>
          <w:rFonts w:ascii="PT Astra Serif" w:eastAsia="PT Astra Serif" w:hAnsi="PT Astra Serif" w:cs="PT Astra Serif"/>
          <w:sz w:val="28"/>
          <w:szCs w:val="28"/>
        </w:rPr>
        <w:t>Приказом Инспекции от 10.12.2019 № 234 «Об оценки результативности и эффективности контрольно-надзорной деятельности государственной жилищной инспекции Воронежской области по осуществлению регионального государственного жилищного надзора» утверждены Методика оценки результативности и эффективности контрольно-надзорной деятельности государственной жилищной инспекции Воронежской области по осуществлению регионального государственного жилищного надзора и Перечень показателей результативности и эффективности контрольно-надзорной деятельности государственной жилищной инспекции Воронежской области по осуществлению регионального государственного жилищного надзора, паспорта ключевых показателей результативности и эффективности контрольно-надзорной деятельности по осуществлению регионального государственного жилищного надзора.</w:t>
      </w:r>
    </w:p>
    <w:p w:rsidR="009753E5" w:rsidRDefault="009753E5" w:rsidP="009753E5">
      <w:pPr>
        <w:spacing w:line="360" w:lineRule="auto"/>
        <w:ind w:firstLine="709"/>
        <w:contextualSpacing/>
        <w:jc w:val="both"/>
      </w:pPr>
      <w:r>
        <w:rPr>
          <w:rFonts w:ascii="PT Astra Serif" w:eastAsia="PT Astra Serif" w:hAnsi="PT Astra Serif" w:cs="PT Astra Serif"/>
          <w:sz w:val="28"/>
          <w:szCs w:val="28"/>
        </w:rPr>
        <w:t>Итоговая оценка результативности и эффективности контрольно-надзорной деятельности Инспекции по осуществлению регионального государственного жилищного надзора и лицензионного контроля предпринимательской деятельности по управлению многоквартирными домами за 2019 год составила:</w:t>
      </w:r>
    </w:p>
    <w:p w:rsidR="009753E5" w:rsidRDefault="009753E5" w:rsidP="009753E5">
      <w:pPr>
        <w:spacing w:line="360" w:lineRule="auto"/>
        <w:ind w:firstLine="709"/>
        <w:contextualSpacing/>
        <w:jc w:val="both"/>
      </w:pPr>
      <w:r>
        <w:rPr>
          <w:rFonts w:ascii="PT Astra Serif" w:eastAsia="PT Astra Serif" w:hAnsi="PT Astra Serif" w:cs="PT Astra Serif"/>
          <w:sz w:val="28"/>
          <w:szCs w:val="28"/>
        </w:rPr>
        <w:t>- по ключевым показателям группы А, отражающим уровень безопасности охраняемых законом ценностей, выражающийся в минимизации причинения им вреда (ущерба) процент выполнения - 100%;</w:t>
      </w:r>
    </w:p>
    <w:p w:rsidR="009753E5" w:rsidRDefault="009753E5" w:rsidP="009753E5">
      <w:pPr>
        <w:spacing w:line="360" w:lineRule="auto"/>
        <w:ind w:firstLine="709"/>
        <w:contextualSpacing/>
        <w:jc w:val="both"/>
      </w:pPr>
      <w:r>
        <w:rPr>
          <w:rFonts w:ascii="PT Astra Serif" w:eastAsia="PT Astra Serif" w:hAnsi="PT Astra Serif" w:cs="PT Astra Serif"/>
          <w:sz w:val="28"/>
          <w:szCs w:val="28"/>
        </w:rPr>
        <w:t>- по индикативным показателям группы Б, отражающим уровень безопасности охраняемых законом ценностей, выражающийся в минимизации причинения им вреда (ущерба), с учетом задействованных трудовых, материальных и финансовых ресурсов при осуществлении в отношении них контрольно-надзорных мероприятий процент выполнения - от 80% до 100%;</w:t>
      </w:r>
    </w:p>
    <w:p w:rsidR="009753E5" w:rsidRDefault="009753E5" w:rsidP="009753E5">
      <w:pPr>
        <w:spacing w:line="360" w:lineRule="auto"/>
        <w:ind w:firstLine="709"/>
        <w:contextualSpacing/>
        <w:jc w:val="both"/>
      </w:pPr>
      <w:r>
        <w:rPr>
          <w:rFonts w:ascii="PT Astra Serif" w:eastAsia="PT Astra Serif" w:hAnsi="PT Astra Serif" w:cs="PT Astra Serif"/>
          <w:sz w:val="28"/>
          <w:szCs w:val="28"/>
        </w:rPr>
        <w:t xml:space="preserve"> - итоговая балльная оценка - 2,5, что соответствует плановым показателям.</w:t>
      </w:r>
    </w:p>
    <w:p w:rsidR="009753E5" w:rsidRDefault="009753E5" w:rsidP="009753E5">
      <w:pPr>
        <w:spacing w:line="360" w:lineRule="auto"/>
        <w:ind w:firstLine="709"/>
        <w:contextualSpacing/>
        <w:jc w:val="both"/>
      </w:pPr>
      <w:r>
        <w:rPr>
          <w:rFonts w:ascii="PT Astra Serif" w:eastAsia="PT Astra Serif" w:hAnsi="PT Astra Serif" w:cs="PT Astra Serif"/>
          <w:sz w:val="28"/>
          <w:szCs w:val="28"/>
        </w:rPr>
        <w:t>Приказами Инспекции от 06.03.2020 № 31 и №32 утверждены соответственно Перечень показателей результативности и эффективности контрольно-надзорной деятельности государственной жилищной инспекции Воронежской области по осуществлению регионального государственного жилищного надзора на 2020 год и Перечень показателей результативности и эффективности контрольно-надзорной деятельности государственной жилищной инспекции Воронежской области по осуществлению лицензионного контроля предпринимательской деятельности по управлению многоквартирными домами на 2020 год.</w:t>
      </w:r>
    </w:p>
    <w:p w:rsidR="009753E5" w:rsidRDefault="009753E5" w:rsidP="009753E5">
      <w:pPr>
        <w:spacing w:line="360" w:lineRule="auto"/>
        <w:ind w:firstLine="709"/>
        <w:contextualSpacing/>
        <w:jc w:val="both"/>
      </w:pPr>
      <w:r>
        <w:rPr>
          <w:rFonts w:ascii="PT Astra Serif" w:eastAsia="PT Astra Serif" w:hAnsi="PT Astra Serif" w:cs="PT Astra Serif"/>
          <w:sz w:val="28"/>
          <w:szCs w:val="28"/>
        </w:rPr>
        <w:t>Оценка результативности и эффективности контрольно-надзорной деятельности в 2020 году будет завершена к 1 марта 2021 года. Предварительные оценки позволяют сделать вывод о достижении в 2020 году основных показателей контрольно-надзорной деятельности.</w:t>
      </w:r>
    </w:p>
    <w:p w:rsidR="005542D8" w:rsidRPr="00886888" w:rsidRDefault="005542D8" w:rsidP="00886888">
      <w:pPr>
        <w:rPr>
          <w:sz w:val="32"/>
          <w:szCs w:val="32"/>
        </w:rPr>
      </w:pP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886888" w:rsidRPr="009753E5" w:rsidRDefault="00886888" w:rsidP="00886888">
      <w:pPr>
        <w:rPr>
          <w:sz w:val="32"/>
          <w:szCs w:val="32"/>
        </w:rPr>
      </w:pP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 xml:space="preserve">Основные направления деятельности инспекции по выявленным проблемам для дальнейшей работы в 2021 и последующих годах: </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проведение внеплановых контрольных мероприятий по жилищному надзору по обращению граждан и организаций;</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осуществление лицензионного контроля;</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выявление административных правонарушений и применение мер административного воздействия, предусмотренных законодательством;</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надзор за поступлением штрафов, их принудительным взысканием;</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надзор за соблюдением порядка размещения информации в государственной информационной системе жилищно-коммунального хозяйства;</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 xml:space="preserve">надзор за деятельностью ТСЖ, ЖСК в соответствии с полномочиями инспекции; </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надзор за обеспечением выполнения работ по содержанию, ремонту общего имущества многоквартирных домов, предоставлением коммунальных услуг, начислением и оплаты услуг в ЖКХ;</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надзор за деятельностью регионального оператора, владельцев специальных счетов в соответствии с полномочиями инспекции;</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осуществление взаимодействия с федеральными, областными органами исполнительной власти.</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В целях совершенствования нормативно-правового регулирования и осуществления регионального государственного жилищного надзора и лицензионного контроля за осуществлением предпринимательской деятельности по управлению многоквартирными домами предлагается.</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Наделить подведомственные органам государственного жилищного надзора учреждения правом проводить проверки по государственному жилищному надзору и лицензионному контролю, составления протоколов об административных правонарушениях, отнесенных к компетенции органов государственного жилищного надзора.</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Кроме этого, предлагаем наделить органы государственной власти регионов правом вводить дополнительные требования к лицензированию предпринимательской деятельности по управлению многоквартирными домами, рассмотреть возможность увеличения уставного капитала для организаций, осуществляющих управление многоквартирными домами. Принятие данных изменений позволит субъектам РФ сформировать административное законодательство в сфере жилищно-коммунального хозяйства и организовать в этой сфере действенный региональный надзор.</w:t>
      </w:r>
    </w:p>
    <w:p w:rsidR="009753E5" w:rsidRDefault="009753E5" w:rsidP="009753E5">
      <w:pPr>
        <w:spacing w:line="360" w:lineRule="auto"/>
        <w:ind w:firstLine="709"/>
        <w:contextualSpacing/>
        <w:jc w:val="both"/>
        <w:rPr>
          <w:rFonts w:ascii="PT Astra Serif" w:eastAsia="PT Astra Serif" w:hAnsi="PT Astra Serif" w:cs="PT Astra Serif"/>
          <w:sz w:val="28"/>
          <w:szCs w:val="28"/>
        </w:rPr>
      </w:pPr>
      <w:r>
        <w:rPr>
          <w:rFonts w:ascii="PT Astra Serif" w:eastAsia="PT Astra Serif" w:hAnsi="PT Astra Serif" w:cs="PT Astra Serif"/>
          <w:sz w:val="28"/>
          <w:szCs w:val="28"/>
        </w:rPr>
        <w:t>Более подробная информация об организации и проведении Инспекцией государственного контроля (надзора), муниципального контроля содержится в формах федерального статистического наблюдения за 2020 год № 1-контроль «Сведения об осуществлении государственного контроля (надзора) и муниципального контроля» и № 1-лицензирование «Сведения об осуществлении лицензирования» которые размещены в ГАС «Управление».</w:t>
      </w:r>
    </w:p>
    <w:p w:rsidR="00404177" w:rsidRPr="009753E5" w:rsidRDefault="00404177" w:rsidP="00886888">
      <w:pPr>
        <w:rPr>
          <w:sz w:val="32"/>
          <w:szCs w:val="32"/>
        </w:rPr>
      </w:pPr>
    </w:p>
    <w:p w:rsidR="00404177" w:rsidRPr="009753E5" w:rsidRDefault="00404177" w:rsidP="00886888">
      <w:pPr>
        <w:rPr>
          <w:sz w:val="32"/>
          <w:szCs w:val="32"/>
        </w:rPr>
      </w:pPr>
    </w:p>
    <w:p w:rsidR="00404177" w:rsidRPr="00886888" w:rsidRDefault="00404177" w:rsidP="00404177">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t>Приложения</w:t>
      </w:r>
    </w:p>
    <w:p w:rsidR="00886888" w:rsidRDefault="00886888" w:rsidP="00886888">
      <w:pPr>
        <w:rPr>
          <w:sz w:val="32"/>
          <w:szCs w:val="32"/>
          <w:lang w:val="en-US"/>
        </w:rPr>
      </w:pPr>
    </w:p>
    <w:p w:rsidR="00404177" w:rsidRDefault="00404177" w:rsidP="00886888">
      <w:pPr>
        <w:rPr>
          <w:sz w:val="32"/>
          <w:szCs w:val="32"/>
          <w:lang w:val="en-US"/>
        </w:rPr>
      </w:pPr>
    </w:p>
    <w:p w:rsidR="00404177" w:rsidRDefault="00404177" w:rsidP="00886888">
      <w:pPr>
        <w:rPr>
          <w:sz w:val="32"/>
          <w:szCs w:val="32"/>
          <w:lang w:val="en-US"/>
        </w:rPr>
      </w:pPr>
    </w:p>
    <w:p w:rsidR="00404177" w:rsidRPr="00404177" w:rsidRDefault="00404177" w:rsidP="00886888">
      <w:pPr>
        <w:rPr>
          <w:sz w:val="32"/>
          <w:szCs w:val="32"/>
          <w:lang w:val="en-US"/>
        </w:rPr>
      </w:pPr>
    </w:p>
    <w:sectPr w:rsidR="00404177" w:rsidRPr="00404177" w:rsidSect="00886888">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F1E" w:rsidRDefault="00E57F1E" w:rsidP="00404177">
      <w:r>
        <w:separator/>
      </w:r>
    </w:p>
  </w:endnote>
  <w:endnote w:type="continuationSeparator" w:id="0">
    <w:p w:rsidR="00E57F1E" w:rsidRDefault="00E57F1E"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177" w:rsidRDefault="00404177">
    <w:pPr>
      <w:pStyle w:val="a5"/>
      <w:jc w:val="center"/>
    </w:pPr>
    <w:r>
      <w:fldChar w:fldCharType="begin"/>
    </w:r>
    <w:r>
      <w:instrText xml:space="preserve"> PAGE   \* MERGEFORMAT </w:instrText>
    </w:r>
    <w:r>
      <w:fldChar w:fldCharType="separate"/>
    </w:r>
    <w:r w:rsidR="00E57F1E">
      <w:rPr>
        <w:noProof/>
      </w:rPr>
      <w:t>1</w:t>
    </w:r>
    <w:r>
      <w:fldChar w:fldCharType="end"/>
    </w:r>
  </w:p>
  <w:p w:rsidR="00404177" w:rsidRDefault="004041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F1E" w:rsidRDefault="00E57F1E" w:rsidP="00404177">
      <w:r>
        <w:separator/>
      </w:r>
    </w:p>
  </w:footnote>
  <w:footnote w:type="continuationSeparator" w:id="0">
    <w:p w:rsidR="00E57F1E" w:rsidRDefault="00E57F1E" w:rsidP="0040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177" w:rsidRPr="00404177" w:rsidRDefault="00404177" w:rsidP="00404177">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5F439F"/>
    <w:multiLevelType w:val="hybridMultilevel"/>
    <w:tmpl w:val="C34E26DE"/>
    <w:lvl w:ilvl="0" w:tplc="7E422178">
      <w:start w:val="1"/>
      <w:numFmt w:val="bullet"/>
      <w:lvlText w:val="–"/>
      <w:lvlJc w:val="left"/>
      <w:pPr>
        <w:ind w:left="1418" w:hanging="360"/>
      </w:pPr>
      <w:rPr>
        <w:rFonts w:ascii="Arial" w:eastAsia="Arial" w:hAnsi="Arial" w:cs="Arial"/>
      </w:rPr>
    </w:lvl>
    <w:lvl w:ilvl="1" w:tplc="3C1C92A6">
      <w:start w:val="1"/>
      <w:numFmt w:val="bullet"/>
      <w:lvlText w:val="o"/>
      <w:lvlJc w:val="left"/>
      <w:pPr>
        <w:ind w:left="2138" w:hanging="360"/>
      </w:pPr>
      <w:rPr>
        <w:rFonts w:ascii="Courier New" w:eastAsia="Courier New" w:hAnsi="Courier New" w:cs="Courier New"/>
      </w:rPr>
    </w:lvl>
    <w:lvl w:ilvl="2" w:tplc="735291A0">
      <w:start w:val="1"/>
      <w:numFmt w:val="bullet"/>
      <w:lvlText w:val="§"/>
      <w:lvlJc w:val="left"/>
      <w:pPr>
        <w:ind w:left="2858" w:hanging="360"/>
      </w:pPr>
      <w:rPr>
        <w:rFonts w:ascii="Wingdings" w:eastAsia="Wingdings" w:hAnsi="Wingdings" w:cs="Wingdings"/>
      </w:rPr>
    </w:lvl>
    <w:lvl w:ilvl="3" w:tplc="1C02C816">
      <w:start w:val="1"/>
      <w:numFmt w:val="bullet"/>
      <w:lvlText w:val="·"/>
      <w:lvlJc w:val="left"/>
      <w:pPr>
        <w:ind w:left="3578" w:hanging="360"/>
      </w:pPr>
      <w:rPr>
        <w:rFonts w:ascii="Symbol" w:eastAsia="Symbol" w:hAnsi="Symbol" w:cs="Symbol"/>
      </w:rPr>
    </w:lvl>
    <w:lvl w:ilvl="4" w:tplc="A2A07DF4">
      <w:start w:val="1"/>
      <w:numFmt w:val="bullet"/>
      <w:lvlText w:val="o"/>
      <w:lvlJc w:val="left"/>
      <w:pPr>
        <w:ind w:left="4298" w:hanging="360"/>
      </w:pPr>
      <w:rPr>
        <w:rFonts w:ascii="Courier New" w:eastAsia="Courier New" w:hAnsi="Courier New" w:cs="Courier New"/>
      </w:rPr>
    </w:lvl>
    <w:lvl w:ilvl="5" w:tplc="67A6B612">
      <w:start w:val="1"/>
      <w:numFmt w:val="bullet"/>
      <w:lvlText w:val="§"/>
      <w:lvlJc w:val="left"/>
      <w:pPr>
        <w:ind w:left="5018" w:hanging="360"/>
      </w:pPr>
      <w:rPr>
        <w:rFonts w:ascii="Wingdings" w:eastAsia="Wingdings" w:hAnsi="Wingdings" w:cs="Wingdings"/>
      </w:rPr>
    </w:lvl>
    <w:lvl w:ilvl="6" w:tplc="6CB83570">
      <w:start w:val="1"/>
      <w:numFmt w:val="bullet"/>
      <w:lvlText w:val="·"/>
      <w:lvlJc w:val="left"/>
      <w:pPr>
        <w:ind w:left="5738" w:hanging="360"/>
      </w:pPr>
      <w:rPr>
        <w:rFonts w:ascii="Symbol" w:eastAsia="Symbol" w:hAnsi="Symbol" w:cs="Symbol"/>
      </w:rPr>
    </w:lvl>
    <w:lvl w:ilvl="7" w:tplc="69622B40">
      <w:start w:val="1"/>
      <w:numFmt w:val="bullet"/>
      <w:lvlText w:val="o"/>
      <w:lvlJc w:val="left"/>
      <w:pPr>
        <w:ind w:left="6458" w:hanging="360"/>
      </w:pPr>
      <w:rPr>
        <w:rFonts w:ascii="Courier New" w:eastAsia="Courier New" w:hAnsi="Courier New" w:cs="Courier New"/>
      </w:rPr>
    </w:lvl>
    <w:lvl w:ilvl="8" w:tplc="83DE7856">
      <w:start w:val="1"/>
      <w:numFmt w:val="bullet"/>
      <w:lvlText w:val="§"/>
      <w:lvlJc w:val="left"/>
      <w:pPr>
        <w:ind w:left="7178" w:hanging="360"/>
      </w:pPr>
      <w:rPr>
        <w:rFonts w:ascii="Wingdings" w:eastAsia="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888"/>
    <w:rsid w:val="00001278"/>
    <w:rsid w:val="00010F2E"/>
    <w:rsid w:val="000B7FD5"/>
    <w:rsid w:val="001C3D19"/>
    <w:rsid w:val="00404177"/>
    <w:rsid w:val="0042029C"/>
    <w:rsid w:val="005542D8"/>
    <w:rsid w:val="005827E9"/>
    <w:rsid w:val="005A1F26"/>
    <w:rsid w:val="005B5D4B"/>
    <w:rsid w:val="00670FE6"/>
    <w:rsid w:val="006961EB"/>
    <w:rsid w:val="00755FAF"/>
    <w:rsid w:val="0078199F"/>
    <w:rsid w:val="00782C70"/>
    <w:rsid w:val="0083213D"/>
    <w:rsid w:val="00843529"/>
    <w:rsid w:val="00886888"/>
    <w:rsid w:val="008A0EF2"/>
    <w:rsid w:val="008E7D6B"/>
    <w:rsid w:val="009753E5"/>
    <w:rsid w:val="00A21FE0"/>
    <w:rsid w:val="00A6696F"/>
    <w:rsid w:val="00B628C6"/>
    <w:rsid w:val="00CD6E5D"/>
    <w:rsid w:val="00D524F4"/>
    <w:rsid w:val="00DA0BF9"/>
    <w:rsid w:val="00DD671F"/>
    <w:rsid w:val="00E14580"/>
    <w:rsid w:val="00E57F1E"/>
    <w:rsid w:val="00E823FF"/>
    <w:rsid w:val="00F31C3C"/>
    <w:rsid w:val="00FE4CAC"/>
    <w:rsid w:val="00FF0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styleId="a9">
    <w:name w:val="List Paragraph"/>
    <w:basedOn w:val="a"/>
    <w:uiPriority w:val="34"/>
    <w:qFormat/>
    <w:rsid w:val="009753E5"/>
    <w:pPr>
      <w:spacing w:after="200" w:line="276" w:lineRule="auto"/>
      <w:ind w:left="720"/>
      <w:contextualSpacing/>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5721</Words>
  <Characters>32616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38261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2021-03-04T09:04:00Z</dcterms:created>
  <dcterms:modified xsi:type="dcterms:W3CDTF">2021-03-04T09:04:00Z</dcterms:modified>
</cp:coreProperties>
</file>